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6D" w:rsidRPr="0087616D" w:rsidRDefault="0087616D" w:rsidP="003A09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87616D">
        <w:rPr>
          <w:rFonts w:ascii="Times New Roman" w:hAnsi="Times New Roman"/>
          <w:b/>
          <w:sz w:val="28"/>
          <w:szCs w:val="28"/>
        </w:rPr>
        <w:t>нформация об изменениях в российском законодательстве в 2018 году</w:t>
      </w:r>
      <w:r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87616D" w:rsidRPr="0087616D" w:rsidRDefault="0087616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2018 года предприниматели могут уведомить о начале осуществления отдельных видов деятельности (бытовые услуги, пошив одежды и обуви, услуги фотографии и т.п.) в любом многофункциональном центре или федеральном органе, независимо от места осуществления деятельности.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1 января размер страховых взносов ИП больше не привязан к МРОТ, а представляет собой фиксированные суммы в зависимости от превышения предпринимателем суммы годового дохода в размере 300 тыс. руб. Если величина дохода не превышает 300 тыс. руб., то взнос в ПФР составят 26 545 руб. за 2018 год, 29 354 руб. за 2019 год, 32 448 руб. за 2020</w:t>
      </w:r>
      <w:proofErr w:type="gramEnd"/>
      <w:r>
        <w:rPr>
          <w:rFonts w:ascii="Times New Roman" w:hAnsi="Times New Roman"/>
          <w:sz w:val="28"/>
          <w:szCs w:val="28"/>
        </w:rPr>
        <w:t xml:space="preserve"> год. Если величина дохода превышает 300 тыс. руб., то с 2020 года предприниматель должен уплачивать еще 1% от суммы превышения. Взносы на обязательное медицинское страхование устанавливаются в фиксированном размере — 5840 руб. за 2018 год, 6884 руб. за 2019 год и 8426 руб. за 2020 год.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1 января для получения налоговых льгот по транспортному, земельному налогам и налогу на имущество гражданину достаточно подать в налоговую заявление.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Налоговый орган сам обязан запрашивать у других организаций подтверждение указанных в заявлении сведений о праве на льготу.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реализация лома и отходов черных и цветных металлов подлежит обложению НДС. 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не подлежит вычету НДС покупка товаров и услуг, совершенная за счет субсидий или бюджетных инвестиций.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лица, применяющие упрощенную систему налогообложения, должны дополнить Книгу учета доходов и расходов разделом, отражающим суммы торгового сбора.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1 января на 10% повышены ставки акцизов на табак, </w:t>
      </w:r>
      <w:proofErr w:type="spellStart"/>
      <w:r>
        <w:rPr>
          <w:rFonts w:ascii="Times New Roman" w:hAnsi="Times New Roman"/>
          <w:sz w:val="28"/>
          <w:szCs w:val="28"/>
        </w:rPr>
        <w:t>сигариллы</w:t>
      </w:r>
      <w:proofErr w:type="spellEnd"/>
      <w:r>
        <w:rPr>
          <w:rFonts w:ascii="Times New Roman" w:hAnsi="Times New Roman"/>
          <w:sz w:val="28"/>
          <w:szCs w:val="28"/>
        </w:rPr>
        <w:t>, электронные сигареты и жидкости для электронных сигарет. Акцизы на сигары выросли на 9,9%, а на табак, используемый в нагревательных устройствах, рост ставки акциза составил 21,3%.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повысились акцизы на бензин, дизельное топливо (12,7%), средние дистилляты (11,1%). Кроме того, введено дифференцирование ставок акцизов на мощные автомобили.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до предоставления займа должны запрашивать информацию для оценки долговой нагрузки и платежеспособности заемщика (размер зарплаты, источники доходов, имеющиеся денежные обязательства и пр.). Они также обязаны обеспечить клиентам в личном кабинете доступ к информации об условиях договора, графике платежей и текущей задолженности.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сельскохозяйственные кредитные потребительские кооперативы обязаны быть членами саморегулируемой организации (СРО).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минимальные значения выручки юридических лиц, которые обязаны или имеют право осуществлять закупки у субъектов малого и среднего предпринимательства, снижается с 2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>
        <w:rPr>
          <w:rFonts w:ascii="Times New Roman" w:hAnsi="Times New Roman"/>
          <w:sz w:val="28"/>
          <w:szCs w:val="28"/>
        </w:rPr>
        <w:t xml:space="preserve"> до 500 млн руб.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2018 году проведена налоговая амнистия.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Поручением Президента Российской Федерации предусмотрено списание налоговой задолженности для следующих категорий налогоплательщиков: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физических лиц списанию подлежит сумма налоговой задолженности по имущественным налогам (к которым относится транспортный налог, налог на имущество физических лиц и земельный налог), образовавшаяся по состоянию на 01.01.2015, а также соответствующая сумма по пени, начисленная на указанную задолженность.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индивидуальных предпринимателей и физических лиц, которые ранее занимались предпринимательской деятельностью, списанию подлежит сумма налоговой задолженности по налогам, уплата которых связана с </w:t>
      </w:r>
      <w:r>
        <w:rPr>
          <w:rFonts w:ascii="Times New Roman" w:hAnsi="Times New Roman"/>
          <w:sz w:val="28"/>
          <w:szCs w:val="28"/>
        </w:rPr>
        <w:lastRenderedPageBreak/>
        <w:t>осуществлением предпринимательской деятельности (за исключением налога на добычу полезных ископаемых, акцизов и налогов, подлежащих уплате в связи с перемещением товаров через границу Российской Федерации), образовавшаяся по состоянию на 01.01.2015, а также соответствующая сумма по пени, начисленная на указанную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задолженность, и задолженность по штрафам. 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индивидуальных предпринимателей и физических лиц, которые ранее занимались предпринимательской деятельностью, а также адвокатов, нотариусов и иных лиц, которые занимаются или ранее занимались частной практикой, списанию подлежит сумма задолженности по страховым взносам, образовавшаяся за расчетные периоды до 01.01.2017.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Списание задолженности осуществляется налоговыми органами самостоятельно, без участия налогоплательщика. Дополнительно обращаться в налоговые органы не нужно.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ФНС России обновила форму налоговой декларации по акцизам на табак (табачные изделия), табачную продукцию, электронные системы доставки никотина и жидкости для электронных систем доставки никотина. Приказ ФНС России от 15.02.2018 № ММВ-7-3/95@ зарегистрирован в Минюсте России 15.05.2018 № 51109 и вступает в силу в июле 2018 года.</w:t>
      </w:r>
    </w:p>
    <w:p w:rsid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декларации появился коэффициент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 для расчета суммы акциза за налоговые периоды с 1 сентября (включительно) каждого календарного года по 31 декабря (включительно) того же года.</w:t>
      </w:r>
    </w:p>
    <w:p w:rsidR="004C1563" w:rsidRPr="003A090D" w:rsidRDefault="003A090D" w:rsidP="003A09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новую декларацию по акцизам необходимо не позднее 25 августа 2018 года.</w:t>
      </w:r>
    </w:p>
    <w:sectPr w:rsidR="004C1563" w:rsidRPr="003A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0D"/>
    <w:rsid w:val="003A090D"/>
    <w:rsid w:val="004C1563"/>
    <w:rsid w:val="008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D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D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2</cp:revision>
  <dcterms:created xsi:type="dcterms:W3CDTF">2018-06-25T09:18:00Z</dcterms:created>
  <dcterms:modified xsi:type="dcterms:W3CDTF">2018-06-25T09:19:00Z</dcterms:modified>
</cp:coreProperties>
</file>