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B00AE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5B00AE">
        <w:rPr>
          <w:sz w:val="28"/>
          <w:szCs w:val="28"/>
        </w:rPr>
        <w:t>1002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E2346F">
        <w:rPr>
          <w:sz w:val="28"/>
          <w:szCs w:val="28"/>
        </w:rPr>
        <w:t xml:space="preserve"> 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754EDD">
        <w:rPr>
          <w:sz w:val="28"/>
          <w:szCs w:val="28"/>
        </w:rPr>
        <w:t>О</w:t>
      </w:r>
      <w:proofErr w:type="gramEnd"/>
      <w:r w:rsidR="00754EDD">
        <w:rPr>
          <w:sz w:val="28"/>
          <w:szCs w:val="28"/>
        </w:rPr>
        <w:t> 4</w:t>
      </w:r>
      <w:r w:rsidR="00754EDD" w:rsidRPr="003812A6">
        <w:rPr>
          <w:sz w:val="28"/>
          <w:szCs w:val="28"/>
        </w:rPr>
        <w:t xml:space="preserve"> «</w:t>
      </w:r>
      <w:r w:rsidR="00754EDD" w:rsidRPr="00754EDD">
        <w:rPr>
          <w:sz w:val="28"/>
          <w:szCs w:val="28"/>
        </w:rPr>
        <w:t>Зона специализированного обслуживания</w:t>
      </w:r>
      <w:r w:rsidR="00754EDD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54EDD" w:rsidRPr="00173E02" w:rsidRDefault="005909D9" w:rsidP="00754EDD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54EDD" w:rsidRPr="00173E02">
        <w:rPr>
          <w:b/>
          <w:bCs/>
          <w:sz w:val="28"/>
          <w:szCs w:val="28"/>
        </w:rPr>
        <w:t>Индекс зоны</w:t>
      </w:r>
      <w:proofErr w:type="gramStart"/>
      <w:r w:rsidR="00754EDD" w:rsidRPr="00173E02">
        <w:rPr>
          <w:b/>
          <w:bCs/>
          <w:sz w:val="28"/>
          <w:szCs w:val="28"/>
        </w:rPr>
        <w:t xml:space="preserve"> О</w:t>
      </w:r>
      <w:proofErr w:type="gramEnd"/>
      <w:r w:rsidR="00754EDD" w:rsidRPr="00173E02">
        <w:rPr>
          <w:b/>
          <w:bCs/>
          <w:sz w:val="28"/>
          <w:szCs w:val="28"/>
        </w:rPr>
        <w:t xml:space="preserve"> 4.</w:t>
      </w:r>
    </w:p>
    <w:p w:rsidR="00754EDD" w:rsidRPr="00173E02" w:rsidRDefault="00754EDD" w:rsidP="00754EDD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173E02">
        <w:rPr>
          <w:b/>
          <w:sz w:val="28"/>
          <w:szCs w:val="28"/>
        </w:rPr>
        <w:t>Зона специализированного обслуживания</w:t>
      </w:r>
      <w:r w:rsidRPr="00173E02">
        <w:rPr>
          <w:b/>
          <w:bCs/>
          <w:sz w:val="28"/>
          <w:szCs w:val="28"/>
        </w:rPr>
        <w:t>.</w:t>
      </w:r>
    </w:p>
    <w:p w:rsidR="00754EDD" w:rsidRPr="00173E02" w:rsidRDefault="00754EDD" w:rsidP="00754EDD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</w:p>
    <w:p w:rsidR="00754EDD" w:rsidRPr="00173E02" w:rsidRDefault="00754EDD" w:rsidP="00754EDD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173E02">
        <w:rPr>
          <w:sz w:val="28"/>
          <w:szCs w:val="28"/>
        </w:rPr>
        <w:t>Цель выделения зон: обеспечение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приведенными видами использования только после получения специальных согласований. Специальные обслуживающие зоны для объектов с большим земельным участком. В зоне О</w:t>
      </w:r>
      <w:proofErr w:type="gramStart"/>
      <w:r w:rsidRPr="00173E02">
        <w:rPr>
          <w:sz w:val="28"/>
          <w:szCs w:val="28"/>
        </w:rPr>
        <w:t>4</w:t>
      </w:r>
      <w:proofErr w:type="gramEnd"/>
      <w:r w:rsidRPr="00173E02">
        <w:rPr>
          <w:sz w:val="28"/>
          <w:szCs w:val="28"/>
        </w:rPr>
        <w:t xml:space="preserve"> расположены объекты культурного наследия, в том числе, отдельные здания и сооружения, ансамбли, усадебные комплексы, мемориальные объекты (Приложение  к ст. 21), №№ 16, 19, 20-22, 39, 53, 57,102, 103,119, 175, 256, 268, 304а, 304ж, 304з, 304к, 304н,319.</w:t>
      </w:r>
    </w:p>
    <w:p w:rsidR="00754EDD" w:rsidRPr="00173E02" w:rsidRDefault="00754EDD" w:rsidP="00754EDD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5"/>
        <w:gridCol w:w="6945"/>
      </w:tblGrid>
      <w:tr w:rsidR="00754EDD" w:rsidRPr="00754EDD" w:rsidTr="00E254AB">
        <w:tc>
          <w:tcPr>
            <w:tcW w:w="1288" w:type="pct"/>
            <w:gridSpan w:val="2"/>
          </w:tcPr>
          <w:p w:rsidR="00754EDD" w:rsidRPr="00754EDD" w:rsidRDefault="00754EDD" w:rsidP="00754E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54EDD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12" w:type="pct"/>
          </w:tcPr>
          <w:p w:rsidR="00754EDD" w:rsidRPr="00754EDD" w:rsidRDefault="00754EDD" w:rsidP="00754E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54EDD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EDD" w:rsidRPr="00754EDD" w:rsidTr="00E254AB">
        <w:tc>
          <w:tcPr>
            <w:tcW w:w="1288" w:type="pct"/>
            <w:gridSpan w:val="2"/>
            <w:shd w:val="clear" w:color="auto" w:fill="auto"/>
          </w:tcPr>
          <w:p w:rsidR="00754EDD" w:rsidRPr="00754EDD" w:rsidRDefault="00754EDD" w:rsidP="00754EDD">
            <w:pPr>
              <w:rPr>
                <w:rFonts w:eastAsia="Calibri"/>
              </w:rPr>
            </w:pPr>
            <w:r w:rsidRPr="00754EDD">
              <w:t xml:space="preserve">Участки, предназначенные для размещения </w:t>
            </w:r>
            <w:r w:rsidRPr="00754EDD">
              <w:rPr>
                <w:rFonts w:eastAsia="Calibri"/>
              </w:rPr>
              <w:t>общежитий;</w:t>
            </w:r>
          </w:p>
          <w:p w:rsidR="00754EDD" w:rsidRPr="00754EDD" w:rsidRDefault="00754EDD" w:rsidP="00754EDD">
            <w:r w:rsidRPr="00754EDD">
              <w:t>объектов торговли, общественного питания и бытового обслуживания;</w:t>
            </w:r>
          </w:p>
          <w:p w:rsidR="00754EDD" w:rsidRPr="00754EDD" w:rsidRDefault="00754EDD" w:rsidP="00754EDD">
            <w:pPr>
              <w:rPr>
                <w:rFonts w:eastAsia="Calibri"/>
              </w:rPr>
            </w:pPr>
            <w:r w:rsidRPr="00754EDD">
              <w:rPr>
                <w:rFonts w:eastAsia="Calibri"/>
              </w:rPr>
              <w:t>гостиниц;</w:t>
            </w:r>
          </w:p>
          <w:p w:rsidR="00754EDD" w:rsidRPr="00754EDD" w:rsidRDefault="00754EDD" w:rsidP="00754EDD">
            <w:r w:rsidRPr="00754EDD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12" w:type="pct"/>
            <w:shd w:val="clear" w:color="auto" w:fill="auto"/>
          </w:tcPr>
          <w:p w:rsidR="00754EDD" w:rsidRPr="00754EDD" w:rsidRDefault="00754EDD" w:rsidP="00113DD1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754EDD" w:rsidRPr="00754EDD" w:rsidRDefault="00754EDD" w:rsidP="00754EDD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754EDD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754EDD" w:rsidRPr="00754EDD" w:rsidTr="00E254AB">
        <w:tc>
          <w:tcPr>
            <w:tcW w:w="1288" w:type="pct"/>
            <w:gridSpan w:val="2"/>
            <w:shd w:val="clear" w:color="auto" w:fill="auto"/>
          </w:tcPr>
          <w:p w:rsidR="00754EDD" w:rsidRPr="00754EDD" w:rsidRDefault="00754EDD" w:rsidP="00754EDD">
            <w:r w:rsidRPr="00754EDD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12" w:type="pct"/>
            <w:shd w:val="clear" w:color="auto" w:fill="auto"/>
          </w:tcPr>
          <w:p w:rsidR="00754EDD" w:rsidRPr="00754EDD" w:rsidRDefault="00754EDD" w:rsidP="00113DD1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754EDD" w:rsidRPr="00754EDD" w:rsidRDefault="00754EDD" w:rsidP="00754EDD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10000 кв. м.</w:t>
            </w: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754EDD" w:rsidRPr="00754EDD" w:rsidTr="00E254AB">
        <w:tc>
          <w:tcPr>
            <w:tcW w:w="1288" w:type="pct"/>
            <w:gridSpan w:val="2"/>
            <w:shd w:val="clear" w:color="auto" w:fill="auto"/>
          </w:tcPr>
          <w:p w:rsidR="00754EDD" w:rsidRPr="00754EDD" w:rsidRDefault="00754EDD" w:rsidP="00754EDD">
            <w:r w:rsidRPr="00754EDD">
              <w:t>Земельные участки, занятые объектами инженерной инфраструктуры.</w:t>
            </w:r>
          </w:p>
        </w:tc>
        <w:tc>
          <w:tcPr>
            <w:tcW w:w="3712" w:type="pct"/>
            <w:shd w:val="clear" w:color="auto" w:fill="auto"/>
          </w:tcPr>
          <w:p w:rsidR="00754EDD" w:rsidRPr="00754EDD" w:rsidRDefault="00754EDD" w:rsidP="00113DD1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754EDD" w:rsidRPr="00754EDD" w:rsidRDefault="00754EDD" w:rsidP="00754EDD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754EDD" w:rsidRPr="00754EDD" w:rsidRDefault="00754EDD" w:rsidP="00113DD1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ED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754EDD" w:rsidRPr="00754EDD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754EDD">
              <w:rPr>
                <w:b/>
              </w:rPr>
              <w:t>Учебные заведения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Архитектурно-строительные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Соблюдение оптимального соотношения открытых и застроенных пространств с целью </w:t>
            </w:r>
            <w:proofErr w:type="gramStart"/>
            <w:r w:rsidRPr="00754EDD">
              <w:t>предотвращения превышения нормативных показателей плотности застройки</w:t>
            </w:r>
            <w:proofErr w:type="gramEnd"/>
            <w:r w:rsidRPr="00754EDD">
              <w:t xml:space="preserve">;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Рекомендованный уровень озеленения (% озеленения от общей площади объекта) территорий ВУЗов, участков техникумов и профтехучилищ – 45-50%.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При проектировании и строительстве соблюдение требований </w:t>
            </w:r>
            <w:r w:rsidRPr="00754EDD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754EDD">
                <w:rPr>
                  <w:bCs/>
                </w:rPr>
                <w:t>СНиП 2.07.01-89*</w:t>
              </w:r>
            </w:hyperlink>
            <w:r w:rsidRPr="00754EDD">
              <w:rPr>
                <w:bCs/>
              </w:rPr>
              <w:t xml:space="preserve">», </w:t>
            </w:r>
            <w:r w:rsidRPr="00754EDD">
              <w:t xml:space="preserve"> региональных нормативов градостроительного проектирования.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Устройство пандусов в местах перепада для обеспечения удобного проезда маломобильного населения. 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Охрана культурного наследия.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  <w:ind w:firstLine="317"/>
              <w:jc w:val="both"/>
            </w:pPr>
            <w:r w:rsidRPr="00754EDD">
              <w:t xml:space="preserve">Учебные заведения, на территории которых располагаются здания имеющие статус объектов культурного наследия (памятников истории и культуры): комплекс зданий ВГАУ, старый корпус технологической академии, педагогического университета, строительного университета.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Максимальное сохранение своеобразия архитектурного облика зданий и сложившейся исторической среды.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4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Допускается размещать отраслевые учебные заведения в границах санитарно-защитных зон соответствующих предприятий;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Минимальное расстояние между учебными корпусами и проезжей частью скоростных и магистральных улиц непрерывного движения - 50м.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Санитарная очистка территории, </w:t>
            </w:r>
            <w:proofErr w:type="gramStart"/>
            <w:r w:rsidRPr="00754EDD">
              <w:t>централизованное</w:t>
            </w:r>
            <w:proofErr w:type="gramEnd"/>
            <w:r w:rsidRPr="00754EDD">
              <w:t xml:space="preserve"> канализование.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Организация отвода поверхностных вод по лоткам проездов к дождеприемникам.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4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При возведении капитальных зданий проведение дополнительных инженерно-геологических изысканий.</w:t>
            </w:r>
          </w:p>
        </w:tc>
      </w:tr>
      <w:tr w:rsidR="00754EDD" w:rsidRPr="00754EDD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tabs>
                <w:tab w:val="left" w:pos="252"/>
                <w:tab w:val="left" w:pos="1095"/>
              </w:tabs>
              <w:snapToGrid w:val="0"/>
              <w:jc w:val="center"/>
            </w:pPr>
            <w:r w:rsidRPr="00754EDD">
              <w:rPr>
                <w:b/>
                <w:bCs/>
              </w:rPr>
              <w:t>Учреждения здравоохранения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 xml:space="preserve">Архитектурно-строительные требования. 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Минимальные размеры земельного участка определяются в соответствии с проектом планировки, </w:t>
            </w:r>
            <w:r w:rsidRPr="00754EDD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9" w:history="1">
              <w:r w:rsidRPr="00754EDD">
                <w:rPr>
                  <w:bCs/>
                </w:rPr>
                <w:t>СНиП 2.07.01-89*</w:t>
              </w:r>
            </w:hyperlink>
            <w:r w:rsidRPr="00754EDD">
              <w:rPr>
                <w:bCs/>
              </w:rPr>
              <w:t xml:space="preserve">», </w:t>
            </w:r>
            <w:r w:rsidRPr="00754EDD">
              <w:t>приложение</w:t>
            </w:r>
            <w:proofErr w:type="gramStart"/>
            <w:r w:rsidRPr="00754EDD">
              <w:t xml:space="preserve"> Ж</w:t>
            </w:r>
            <w:proofErr w:type="gramEnd"/>
            <w:r w:rsidRPr="00754EDD">
              <w:t>, региональными нормативами градостроительного проектирования.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Максимальный процент застройки определяется проектом планировки.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Минимальные отступы от красных линий до границ земельных участков определяются в соответствии с проектом планировки.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Участки вновь размещенных больниц должны примыкать непосредственно к магистральным улицам. 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Охрана культурного наследия.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На территории ряда учреждений здравоохранения имеются отдельные здания, относящиеся к категории объектов культурного наследия, режим содержания которых определяется в </w:t>
            </w:r>
            <w:proofErr w:type="gramStart"/>
            <w:r w:rsidRPr="00754EDD">
              <w:t>порядке</w:t>
            </w:r>
            <w:proofErr w:type="gramEnd"/>
            <w:r w:rsidRPr="00754EDD">
              <w:t xml:space="preserve"> установленном законодательством РФ. </w:t>
            </w:r>
          </w:p>
          <w:p w:rsidR="00754EDD" w:rsidRPr="00754EDD" w:rsidRDefault="00754EDD" w:rsidP="00754EDD">
            <w:pPr>
              <w:pStyle w:val="af4"/>
              <w:spacing w:before="0" w:beforeAutospacing="0" w:after="0"/>
              <w:ind w:left="252"/>
              <w:jc w:val="both"/>
            </w:pPr>
            <w:r w:rsidRPr="00754EDD">
              <w:t xml:space="preserve">Территория объекта культурного наследия </w:t>
            </w:r>
            <w:proofErr w:type="gramStart"/>
            <w:r w:rsidRPr="00754EDD">
              <w:t>служит для физического сохранения памятника не подлежит</w:t>
            </w:r>
            <w:proofErr w:type="gramEnd"/>
            <w:r w:rsidRPr="00754EDD">
              <w:t xml:space="preserve"> застройке и изменению.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Площадь озеленения земельного участка – 50% территории.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При размещении поликлиник, женских консультаций, стоматологических кабинетов, встроенных в жилые дома – строгое соблюдение гигиенических и санитарных требований в соответствии с существующими нормативными документами, при согласовании с центром Госсанэпиднадзора.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Лечебно-профилактические и оздоровительные учреждения общего пользования не допускается размещать на территории санитарно-защитных зон.</w:t>
            </w:r>
          </w:p>
        </w:tc>
      </w:tr>
      <w:tr w:rsidR="00754EDD" w:rsidRPr="00754EDD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tabs>
                <w:tab w:val="left" w:pos="252"/>
                <w:tab w:val="left" w:pos="1095"/>
              </w:tabs>
              <w:snapToGrid w:val="0"/>
              <w:jc w:val="center"/>
            </w:pPr>
            <w:r w:rsidRPr="00754EDD">
              <w:rPr>
                <w:b/>
                <w:bCs/>
              </w:rPr>
              <w:t>Спортивные и спортивно-зрелищные объекты, многофункциональные рекреационные центры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Архитектурно-строительные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5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Минимальные размеры земельного участка определяются в соответствии с проектом планировки, </w:t>
            </w:r>
            <w:r w:rsidRPr="00754EDD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10" w:history="1">
              <w:r w:rsidRPr="00754EDD">
                <w:rPr>
                  <w:bCs/>
                </w:rPr>
                <w:t>СНиП 2.07.01-89*</w:t>
              </w:r>
            </w:hyperlink>
            <w:r w:rsidRPr="00754EDD">
              <w:rPr>
                <w:bCs/>
              </w:rPr>
              <w:t xml:space="preserve">», </w:t>
            </w:r>
            <w:r w:rsidRPr="00754EDD">
              <w:t>приложение</w:t>
            </w:r>
            <w:proofErr w:type="gramStart"/>
            <w:r w:rsidRPr="00754EDD">
              <w:t xml:space="preserve"> Ж</w:t>
            </w:r>
            <w:proofErr w:type="gramEnd"/>
            <w:r w:rsidRPr="00754EDD">
              <w:t>, региональными нормативами градостроительного проектирования и местными нормативами градостроительного проектирования.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Высота зданий и максимальный процент застройки определяется проектом планировки.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Приобъектные стоянки продолжительного паркирования (более 15 минут) и кратковременного паркирования (менее 15 минут) должны быть размещены вне зон пешеходного движения не далее 100 и 50-ти метровой доступности от объекта соответственно.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Общая стоянка транспортных сре</w:t>
            </w:r>
            <w:proofErr w:type="gramStart"/>
            <w:r w:rsidRPr="00754EDD">
              <w:t>дств пр</w:t>
            </w:r>
            <w:proofErr w:type="gramEnd"/>
            <w:r w:rsidRPr="00754EDD">
              <w:t xml:space="preserve">и учреждениях обслуживания принимается из расчета: на 100 единовременных посетителей 7-10 машино-мест и 15-20 велосипедов и мопедов.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Обеспечение возможности беспрепятственного движения инвалидов и других маломобильных групп населения.</w:t>
            </w:r>
          </w:p>
        </w:tc>
      </w:tr>
      <w:tr w:rsidR="00754EDD" w:rsidRPr="00754ED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754EDD">
            <w:pPr>
              <w:pStyle w:val="af4"/>
              <w:spacing w:before="0" w:beforeAutospacing="0" w:after="0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DD" w:rsidRPr="00754EDD" w:rsidRDefault="00754EDD" w:rsidP="00113DD1">
            <w:pPr>
              <w:pStyle w:val="af4"/>
              <w:numPr>
                <w:ilvl w:val="0"/>
                <w:numId w:val="7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 xml:space="preserve">Общественные места у общественных зданий должны иметь повышенную степень долговечности и качества элементов внешнего благоустройства и инженерного оборудования, а также достаточную степень озеленения (30% от </w:t>
            </w:r>
            <w:proofErr w:type="gramStart"/>
            <w:r w:rsidRPr="00754EDD">
              <w:t>незастроенное</w:t>
            </w:r>
            <w:proofErr w:type="gramEnd"/>
            <w:r w:rsidRPr="00754EDD">
              <w:t xml:space="preserve"> площади участка). 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7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При возведении капитальных зданий проведение дополнительных инженерно-геологических изысканий.</w:t>
            </w:r>
          </w:p>
          <w:p w:rsidR="00754EDD" w:rsidRPr="00754EDD" w:rsidRDefault="00754EDD" w:rsidP="00113DD1">
            <w:pPr>
              <w:pStyle w:val="af4"/>
              <w:numPr>
                <w:ilvl w:val="0"/>
                <w:numId w:val="7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754EDD">
              <w:t>Организация поверхностного стока с устройством ливневой канализации.</w:t>
            </w:r>
          </w:p>
        </w:tc>
      </w:tr>
    </w:tbl>
    <w:p w:rsidR="00A4184E" w:rsidRDefault="00A4184E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2F03C1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11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B3" w:rsidRDefault="007104B3">
      <w:r>
        <w:separator/>
      </w:r>
    </w:p>
  </w:endnote>
  <w:endnote w:type="continuationSeparator" w:id="0">
    <w:p w:rsidR="007104B3" w:rsidRDefault="0071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B3" w:rsidRDefault="007104B3">
      <w:r>
        <w:separator/>
      </w:r>
    </w:p>
  </w:footnote>
  <w:footnote w:type="continuationSeparator" w:id="0">
    <w:p w:rsidR="007104B3" w:rsidRDefault="00710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850441" w:rsidP="005909D9">
    <w:pPr>
      <w:pStyle w:val="af2"/>
      <w:jc w:val="center"/>
    </w:pPr>
    <w:r>
      <w:fldChar w:fldCharType="begin"/>
    </w:r>
    <w:r w:rsidR="00D406E9">
      <w:instrText xml:space="preserve"> PAGE   \* MERGEFORMAT </w:instrText>
    </w:r>
    <w:r>
      <w:fldChar w:fldCharType="separate"/>
    </w:r>
    <w:r w:rsidR="005B00AE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CD16379"/>
    <w:multiLevelType w:val="hybridMultilevel"/>
    <w:tmpl w:val="E3D05040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504FE3"/>
    <w:multiLevelType w:val="hybridMultilevel"/>
    <w:tmpl w:val="7ABE276C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CA081E"/>
    <w:multiLevelType w:val="hybridMultilevel"/>
    <w:tmpl w:val="E642028A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817B00"/>
    <w:multiLevelType w:val="hybridMultilevel"/>
    <w:tmpl w:val="23A62174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FD2C50"/>
    <w:multiLevelType w:val="hybridMultilevel"/>
    <w:tmpl w:val="28C2ECBC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D1709AF"/>
    <w:multiLevelType w:val="hybridMultilevel"/>
    <w:tmpl w:val="65C4B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2597D"/>
    <w:multiLevelType w:val="hybridMultilevel"/>
    <w:tmpl w:val="CD500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277DC1"/>
    <w:multiLevelType w:val="hybridMultilevel"/>
    <w:tmpl w:val="65D88CAA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9D2618D"/>
    <w:multiLevelType w:val="hybridMultilevel"/>
    <w:tmpl w:val="686A3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2"/>
  </w:num>
  <w:num w:numId="9">
    <w:abstractNumId w:val="11"/>
  </w:num>
  <w:num w:numId="10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3DD1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3EAA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3C1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AC0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0AE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4B3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441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0BE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435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6E9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46F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F5A9A5DB4B11AEBC9F34F7382068E7CDFB8CBFDF5A018FCCB57DOBu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5A9A5DB4B11AEBC9F34F7382068E7CDFB8CBFDF5A018FCCB57DOBuE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FEB80-F3C2-427E-A2EE-CCDD0D7F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2016-11-15T12:13:00Z</cp:lastPrinted>
  <dcterms:created xsi:type="dcterms:W3CDTF">2016-11-16T16:40:00Z</dcterms:created>
  <dcterms:modified xsi:type="dcterms:W3CDTF">2016-11-16T16:40:00Z</dcterms:modified>
</cp:coreProperties>
</file>