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CD24E2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CD24E2">
        <w:rPr>
          <w:sz w:val="28"/>
          <w:szCs w:val="28"/>
        </w:rPr>
        <w:t>1004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A4184E" w:rsidRDefault="00A4184E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A4184E" w:rsidRDefault="00A4184E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A4184E" w:rsidRPr="006E2A2D" w:rsidRDefault="00A4184E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A4184E" w:rsidRDefault="00A4184E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C02A43" w:rsidRDefault="00C02A43" w:rsidP="005909D9">
      <w:pPr>
        <w:spacing w:line="360" w:lineRule="auto"/>
        <w:rPr>
          <w:sz w:val="28"/>
          <w:szCs w:val="28"/>
        </w:rPr>
      </w:pPr>
    </w:p>
    <w:p w:rsidR="00A4184E" w:rsidRDefault="00A4184E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 xml:space="preserve">равила землепользования и застройки городского округа город </w:t>
      </w:r>
      <w:proofErr w:type="gramEnd"/>
      <w:r w:rsidRPr="00B54419">
        <w:rPr>
          <w:sz w:val="28"/>
          <w:szCs w:val="28"/>
        </w:rPr>
        <w:t xml:space="preserve">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117EBD">
        <w:rPr>
          <w:sz w:val="28"/>
          <w:szCs w:val="28"/>
        </w:rPr>
        <w:t xml:space="preserve"> 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5609AE">
        <w:rPr>
          <w:sz w:val="28"/>
          <w:szCs w:val="28"/>
        </w:rPr>
        <w:t>О</w:t>
      </w:r>
      <w:proofErr w:type="gramEnd"/>
      <w:r w:rsidR="005609AE">
        <w:rPr>
          <w:sz w:val="28"/>
          <w:szCs w:val="28"/>
        </w:rPr>
        <w:t> </w:t>
      </w:r>
      <w:r w:rsidR="00A4184E">
        <w:rPr>
          <w:sz w:val="28"/>
          <w:szCs w:val="28"/>
        </w:rPr>
        <w:t>2</w:t>
      </w:r>
      <w:r w:rsidR="005609AE" w:rsidRPr="003812A6">
        <w:rPr>
          <w:sz w:val="28"/>
          <w:szCs w:val="28"/>
        </w:rPr>
        <w:t xml:space="preserve"> «</w:t>
      </w:r>
      <w:r w:rsidR="00A4184E" w:rsidRPr="00A4184E">
        <w:rPr>
          <w:bCs/>
          <w:sz w:val="28"/>
          <w:szCs w:val="28"/>
        </w:rPr>
        <w:t>Зона обслуживания местного значения</w:t>
      </w:r>
      <w:r w:rsidR="005609AE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4184E" w:rsidRPr="007B27B5" w:rsidRDefault="005909D9" w:rsidP="00A4184E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4184E" w:rsidRPr="007B27B5">
        <w:rPr>
          <w:b/>
          <w:bCs/>
          <w:sz w:val="28"/>
          <w:szCs w:val="28"/>
        </w:rPr>
        <w:t>Индекс зоны</w:t>
      </w:r>
      <w:proofErr w:type="gramStart"/>
      <w:r w:rsidR="00A4184E" w:rsidRPr="007B27B5">
        <w:rPr>
          <w:b/>
          <w:bCs/>
          <w:sz w:val="28"/>
          <w:szCs w:val="28"/>
        </w:rPr>
        <w:t xml:space="preserve"> О</w:t>
      </w:r>
      <w:proofErr w:type="gramEnd"/>
      <w:r w:rsidR="00A4184E" w:rsidRPr="007B27B5">
        <w:rPr>
          <w:b/>
          <w:bCs/>
          <w:sz w:val="28"/>
          <w:szCs w:val="28"/>
        </w:rPr>
        <w:t xml:space="preserve"> 2</w:t>
      </w:r>
    </w:p>
    <w:p w:rsidR="00A4184E" w:rsidRPr="007B27B5" w:rsidRDefault="00A4184E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7B27B5">
        <w:rPr>
          <w:b/>
          <w:bCs/>
          <w:sz w:val="28"/>
          <w:szCs w:val="28"/>
        </w:rPr>
        <w:t>Зона обслуживания местного значения.</w:t>
      </w:r>
    </w:p>
    <w:p w:rsidR="00A4184E" w:rsidRPr="007B27B5" w:rsidRDefault="00A4184E" w:rsidP="00A4184E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A4184E" w:rsidRPr="007B27B5" w:rsidRDefault="00A4184E" w:rsidP="00A4184E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7B27B5">
        <w:rPr>
          <w:sz w:val="28"/>
          <w:szCs w:val="28"/>
        </w:rPr>
        <w:t>Зона выделена для обеспечения условий формирования местных (локальных) центров городских районов и полосных (линейных) центров вдоль улиц с широким спектром коммерческих и обслуживающих функций, ориентированных на удовлетворение повседневных и периодических потребностей населения.</w:t>
      </w:r>
    </w:p>
    <w:p w:rsidR="00A4184E" w:rsidRPr="007B27B5" w:rsidRDefault="00A4184E" w:rsidP="00A4184E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5"/>
        <w:gridCol w:w="6945"/>
      </w:tblGrid>
      <w:tr w:rsidR="00A4184E" w:rsidRPr="00A4184E" w:rsidTr="00E254AB">
        <w:tc>
          <w:tcPr>
            <w:tcW w:w="1288" w:type="pct"/>
            <w:gridSpan w:val="2"/>
          </w:tcPr>
          <w:p w:rsidR="00A4184E" w:rsidRPr="00A4184E" w:rsidRDefault="00A4184E" w:rsidP="00A4184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4184E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12" w:type="pct"/>
          </w:tcPr>
          <w:p w:rsidR="00A4184E" w:rsidRPr="00A4184E" w:rsidRDefault="00A4184E" w:rsidP="00A4184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4184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4184E" w:rsidRPr="00A4184E" w:rsidTr="00E254AB">
        <w:tc>
          <w:tcPr>
            <w:tcW w:w="1288" w:type="pct"/>
            <w:gridSpan w:val="2"/>
            <w:shd w:val="clear" w:color="auto" w:fill="auto"/>
          </w:tcPr>
          <w:p w:rsidR="00A4184E" w:rsidRPr="00A4184E" w:rsidRDefault="00A4184E" w:rsidP="00A4184E">
            <w:r w:rsidRPr="00A4184E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12" w:type="pct"/>
            <w:shd w:val="clear" w:color="auto" w:fill="auto"/>
          </w:tcPr>
          <w:p w:rsidR="00A4184E" w:rsidRPr="00A4184E" w:rsidRDefault="00A4184E" w:rsidP="00A4184E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4184E" w:rsidRPr="00A4184E" w:rsidRDefault="00A4184E" w:rsidP="00A4184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A4184E" w:rsidRPr="00A4184E" w:rsidTr="00E254AB">
        <w:tc>
          <w:tcPr>
            <w:tcW w:w="1288" w:type="pct"/>
            <w:gridSpan w:val="2"/>
            <w:shd w:val="clear" w:color="auto" w:fill="auto"/>
          </w:tcPr>
          <w:p w:rsidR="00A4184E" w:rsidRPr="00A4184E" w:rsidRDefault="00A4184E" w:rsidP="00A4184E">
            <w:r w:rsidRPr="00A4184E">
              <w:t>Участки, предназначенные для размещения многоквартирных среднеэтажных жилых домов;</w:t>
            </w:r>
          </w:p>
          <w:p w:rsidR="00A4184E" w:rsidRPr="00A4184E" w:rsidRDefault="00A4184E" w:rsidP="00A4184E">
            <w:pPr>
              <w:rPr>
                <w:rFonts w:eastAsia="Calibri"/>
              </w:rPr>
            </w:pPr>
            <w:r w:rsidRPr="00A4184E">
              <w:rPr>
                <w:rFonts w:eastAsia="Calibri"/>
              </w:rPr>
              <w:t>общежитий;</w:t>
            </w:r>
          </w:p>
          <w:p w:rsidR="00A4184E" w:rsidRPr="00A4184E" w:rsidRDefault="00A4184E" w:rsidP="00A4184E">
            <w:r w:rsidRPr="00A4184E">
              <w:t>объектов торговли, общественного питания и бытового обслуживания;</w:t>
            </w:r>
          </w:p>
          <w:p w:rsidR="00A4184E" w:rsidRPr="00A4184E" w:rsidRDefault="00A4184E" w:rsidP="00A4184E">
            <w:pPr>
              <w:rPr>
                <w:rFonts w:eastAsia="Calibri"/>
              </w:rPr>
            </w:pPr>
            <w:r w:rsidRPr="00A4184E">
              <w:rPr>
                <w:rFonts w:eastAsia="Calibri"/>
              </w:rPr>
              <w:t>гостиниц;</w:t>
            </w:r>
          </w:p>
          <w:p w:rsidR="00A4184E" w:rsidRPr="00A4184E" w:rsidRDefault="00A4184E" w:rsidP="00A4184E">
            <w:r w:rsidRPr="00A4184E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12" w:type="pct"/>
            <w:shd w:val="clear" w:color="auto" w:fill="auto"/>
          </w:tcPr>
          <w:p w:rsidR="00A4184E" w:rsidRPr="00A4184E" w:rsidRDefault="00A4184E" w:rsidP="00A4184E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4184E" w:rsidRPr="00A4184E" w:rsidRDefault="00A4184E" w:rsidP="00A4184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A4184E" w:rsidRPr="00A4184E" w:rsidTr="00E254AB">
        <w:tc>
          <w:tcPr>
            <w:tcW w:w="1288" w:type="pct"/>
            <w:gridSpan w:val="2"/>
            <w:shd w:val="clear" w:color="auto" w:fill="auto"/>
          </w:tcPr>
          <w:p w:rsidR="00A4184E" w:rsidRPr="00A4184E" w:rsidRDefault="00A4184E" w:rsidP="00A4184E">
            <w:r w:rsidRPr="00A4184E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12" w:type="pct"/>
            <w:shd w:val="clear" w:color="auto" w:fill="auto"/>
          </w:tcPr>
          <w:p w:rsidR="00A4184E" w:rsidRPr="00A4184E" w:rsidRDefault="00A4184E" w:rsidP="00A4184E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A4184E" w:rsidRPr="00A4184E" w:rsidRDefault="00A4184E" w:rsidP="00A4184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A4184E" w:rsidRPr="00A4184E" w:rsidTr="00E254AB">
        <w:tc>
          <w:tcPr>
            <w:tcW w:w="1288" w:type="pct"/>
            <w:gridSpan w:val="2"/>
            <w:shd w:val="clear" w:color="auto" w:fill="auto"/>
          </w:tcPr>
          <w:p w:rsidR="00A4184E" w:rsidRPr="00A4184E" w:rsidRDefault="00A4184E" w:rsidP="00A4184E">
            <w:r w:rsidRPr="00A4184E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12" w:type="pct"/>
            <w:shd w:val="clear" w:color="auto" w:fill="auto"/>
          </w:tcPr>
          <w:p w:rsidR="00A4184E" w:rsidRPr="00A4184E" w:rsidRDefault="00A4184E" w:rsidP="00A4184E">
            <w:pPr>
              <w:pStyle w:val="af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4184E" w:rsidRPr="00A4184E" w:rsidRDefault="00A4184E" w:rsidP="00A4184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10000 кв. м.</w:t>
            </w: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8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A4184E" w:rsidRPr="00A4184E" w:rsidTr="00E254AB">
        <w:tc>
          <w:tcPr>
            <w:tcW w:w="1288" w:type="pct"/>
            <w:gridSpan w:val="2"/>
            <w:shd w:val="clear" w:color="auto" w:fill="auto"/>
          </w:tcPr>
          <w:p w:rsidR="00A4184E" w:rsidRPr="00A4184E" w:rsidRDefault="00A4184E" w:rsidP="00A4184E">
            <w:r w:rsidRPr="00A4184E">
              <w:t>Земельные участки, занятые объектами инженерной инфраструктуры.</w:t>
            </w:r>
          </w:p>
        </w:tc>
        <w:tc>
          <w:tcPr>
            <w:tcW w:w="3712" w:type="pct"/>
            <w:shd w:val="clear" w:color="auto" w:fill="auto"/>
          </w:tcPr>
          <w:p w:rsidR="00A4184E" w:rsidRPr="00A4184E" w:rsidRDefault="00A4184E" w:rsidP="00A4184E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4184E" w:rsidRPr="00A4184E" w:rsidRDefault="00A4184E" w:rsidP="00A4184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A4184E" w:rsidRPr="00A4184E" w:rsidRDefault="00A4184E" w:rsidP="00A4184E">
            <w:pPr>
              <w:pStyle w:val="af9"/>
              <w:numPr>
                <w:ilvl w:val="0"/>
                <w:numId w:val="37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4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A4184E" w:rsidRPr="00A4184E" w:rsidTr="00E254A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4E" w:rsidRPr="00A4184E" w:rsidRDefault="00A4184E" w:rsidP="00A4184E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A4184E">
              <w:rPr>
                <w:b/>
              </w:rPr>
              <w:t>Архитектурно-строительные требования.</w:t>
            </w:r>
          </w:p>
        </w:tc>
      </w:tr>
      <w:tr w:rsidR="00A4184E" w:rsidRPr="00A4184E" w:rsidTr="00E254AB">
        <w:trPr>
          <w:trHeight w:val="1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4E" w:rsidRPr="00A4184E" w:rsidRDefault="00A4184E" w:rsidP="00A4184E">
            <w:pPr>
              <w:pStyle w:val="af4"/>
              <w:numPr>
                <w:ilvl w:val="0"/>
                <w:numId w:val="33"/>
              </w:numPr>
              <w:spacing w:before="0" w:beforeAutospacing="0" w:after="0"/>
              <w:ind w:left="357" w:hanging="357"/>
              <w:jc w:val="both"/>
            </w:pPr>
            <w:r w:rsidRPr="00A4184E">
              <w:t xml:space="preserve">При размещении жилой застройки в комплексе с объектами общественного центра жилая застройка формируется в виде участка или группы жилой, смешанной жилой застройки. 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1"/>
              </w:numPr>
              <w:tabs>
                <w:tab w:val="clear" w:pos="824"/>
              </w:tabs>
              <w:spacing w:before="0" w:beforeAutospacing="0" w:after="0"/>
              <w:ind w:left="357" w:hanging="357"/>
              <w:jc w:val="both"/>
            </w:pPr>
            <w:r w:rsidRPr="00A4184E">
              <w:t>Объекты повседневного спроса размещаются в радиусе пешеходной доступности 200-400 м., периодического спроса – 1200 м.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1"/>
              </w:numPr>
              <w:tabs>
                <w:tab w:val="clear" w:pos="824"/>
              </w:tabs>
              <w:spacing w:before="0" w:beforeAutospacing="0" w:after="0"/>
              <w:ind w:left="357" w:hanging="357"/>
              <w:jc w:val="both"/>
            </w:pPr>
            <w:r w:rsidRPr="00A4184E">
              <w:t>В общественных зданиях и сооружениях следует создавать равные возможности получения услуг всеми категориями населения, в том числе и маломобильными согласно СП 31-102-99 «Требования доступности общественных зданий и сооружений для инвалидов и других маломобильных посетителей»</w:t>
            </w:r>
          </w:p>
          <w:p w:rsidR="00A4184E" w:rsidRPr="00A4184E" w:rsidRDefault="00A4184E" w:rsidP="00A4184E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A4184E">
              <w:t xml:space="preserve">Земельный участок, предназначенный </w:t>
            </w:r>
            <w:proofErr w:type="gramStart"/>
            <w:r w:rsidRPr="00A4184E">
              <w:t>для</w:t>
            </w:r>
            <w:proofErr w:type="gramEnd"/>
            <w:r w:rsidRPr="00A4184E">
              <w:t xml:space="preserve"> </w:t>
            </w:r>
            <w:proofErr w:type="gramStart"/>
            <w:r w:rsidRPr="00A4184E">
              <w:t>жилой</w:t>
            </w:r>
            <w:proofErr w:type="gramEnd"/>
            <w:r w:rsidRPr="00A4184E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A4184E" w:rsidRPr="00A4184E" w:rsidRDefault="00A4184E" w:rsidP="00A4184E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A4184E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A4184E" w:rsidRPr="00A4184E" w:rsidRDefault="00A4184E" w:rsidP="00A4184E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A4184E">
              <w:t xml:space="preserve">Размещение объектов в соответствии с местными нормативами градостроительного проектирования. </w:t>
            </w:r>
          </w:p>
          <w:p w:rsidR="00A4184E" w:rsidRPr="00A4184E" w:rsidRDefault="00A4184E" w:rsidP="00A4184E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A4184E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1"/>
              </w:numPr>
              <w:tabs>
                <w:tab w:val="clear" w:pos="824"/>
              </w:tabs>
              <w:spacing w:before="0" w:beforeAutospacing="0" w:after="0"/>
              <w:ind w:left="357" w:hanging="357"/>
              <w:jc w:val="both"/>
            </w:pPr>
            <w:r w:rsidRPr="00A4184E">
              <w:t>Парковки проектируются на специально отведенных участках, вблизи объектов культуры, обслуживания, коммерческих видах использования.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1"/>
              </w:numPr>
              <w:tabs>
                <w:tab w:val="clear" w:pos="824"/>
              </w:tabs>
              <w:spacing w:before="0" w:beforeAutospacing="0" w:after="0"/>
              <w:ind w:left="357" w:hanging="357"/>
              <w:jc w:val="both"/>
            </w:pPr>
            <w:r w:rsidRPr="00A4184E">
              <w:t>Устройство пандусов в местах перепада для обеспечения удобного проезда маломобильного населения.</w:t>
            </w:r>
          </w:p>
          <w:p w:rsidR="00A4184E" w:rsidRPr="00A4184E" w:rsidRDefault="00A4184E" w:rsidP="00A4184E">
            <w:pPr>
              <w:pStyle w:val="af4"/>
              <w:spacing w:before="0" w:beforeAutospacing="0" w:after="0"/>
              <w:ind w:left="34" w:firstLine="425"/>
              <w:jc w:val="both"/>
            </w:pPr>
            <w:r w:rsidRPr="00A4184E">
              <w:t>В зоне О</w:t>
            </w:r>
            <w:proofErr w:type="gramStart"/>
            <w:r w:rsidRPr="00A4184E">
              <w:t>2</w:t>
            </w:r>
            <w:proofErr w:type="gramEnd"/>
            <w:r w:rsidRPr="00A4184E">
              <w:t xml:space="preserve"> дисперсно расположены объекты культурного наследия (Приложение  к ст. 21), №№ 92, 105, 107, 108, 113, 114, 248, 257, 266, 304н, 322 порядок использования которых определяется в соответствии с законодательством РФ в области охраны объектов культурного наследия. </w:t>
            </w:r>
          </w:p>
        </w:tc>
      </w:tr>
      <w:tr w:rsidR="00A4184E" w:rsidRPr="00A4184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4E" w:rsidRPr="00A4184E" w:rsidRDefault="00A4184E" w:rsidP="00A4184E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A4184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4184E" w:rsidRPr="00A4184E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4E" w:rsidRPr="00A4184E" w:rsidRDefault="00A4184E" w:rsidP="00A4184E">
            <w:pPr>
              <w:pStyle w:val="af4"/>
              <w:spacing w:before="0" w:beforeAutospacing="0" w:after="0"/>
            </w:pPr>
            <w:r w:rsidRPr="00A4184E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4E" w:rsidRPr="00A4184E" w:rsidRDefault="00A4184E" w:rsidP="00A4184E">
            <w:pPr>
              <w:pStyle w:val="af4"/>
              <w:numPr>
                <w:ilvl w:val="0"/>
                <w:numId w:val="3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A4184E">
              <w:t>Рекреационные места у общественных зданий должны иметь повышенную степень долговечности и качество элементов внешнего благоустройства и инженерного оборудования, а также достаточную степень озеленения (30% от незастроенной площадки участка).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A4184E">
              <w:t xml:space="preserve">Устройство бордюрного обрамления, проезжей части улиц, тротуаров, газонов. 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A4184E">
              <w:t xml:space="preserve">Для защиты корней деревьев от вытаптывания - устройство на поверхности почвы железных или бетонных решеток, мощение булыжником на ширину кроны. </w:t>
            </w:r>
          </w:p>
          <w:p w:rsidR="00A4184E" w:rsidRPr="00A4184E" w:rsidRDefault="00A4184E" w:rsidP="00A4184E">
            <w:pPr>
              <w:pStyle w:val="af4"/>
              <w:numPr>
                <w:ilvl w:val="0"/>
                <w:numId w:val="3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A4184E">
              <w:t>Организация отвода поверхностных вод по лоткам проездов к дождеприемникам, устанавливаемым в пониженных местах и вдоль улиц.</w:t>
            </w:r>
          </w:p>
        </w:tc>
      </w:tr>
    </w:tbl>
    <w:p w:rsidR="005909D9" w:rsidRDefault="005909D9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A4184E" w:rsidRDefault="00A4184E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032D1C" w:rsidRDefault="00032D1C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Pr="003812A6" w:rsidRDefault="00A4184E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032D1C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  <w:bookmarkStart w:id="0" w:name="_GoBack"/>
      <w:bookmarkEnd w:id="0"/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A8" w:rsidRDefault="00E222A8">
      <w:r>
        <w:separator/>
      </w:r>
    </w:p>
  </w:endnote>
  <w:endnote w:type="continuationSeparator" w:id="0">
    <w:p w:rsidR="00E222A8" w:rsidRDefault="00E2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A8" w:rsidRDefault="00E222A8">
      <w:r>
        <w:separator/>
      </w:r>
    </w:p>
  </w:footnote>
  <w:footnote w:type="continuationSeparator" w:id="0">
    <w:p w:rsidR="00E222A8" w:rsidRDefault="00E22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490D23" w:rsidP="005909D9">
    <w:pPr>
      <w:pStyle w:val="af2"/>
      <w:jc w:val="center"/>
    </w:pPr>
    <w:r>
      <w:fldChar w:fldCharType="begin"/>
    </w:r>
    <w:r w:rsidR="00125A63">
      <w:instrText xml:space="preserve"> PAGE   \* MERGEFORMAT </w:instrText>
    </w:r>
    <w:r>
      <w:fldChar w:fldCharType="separate"/>
    </w:r>
    <w:r w:rsidR="00CD24E2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7B"/>
    <w:multiLevelType w:val="singleLevel"/>
    <w:tmpl w:val="0000007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1D2096D"/>
    <w:multiLevelType w:val="hybridMultilevel"/>
    <w:tmpl w:val="B7C22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067134"/>
    <w:multiLevelType w:val="hybridMultilevel"/>
    <w:tmpl w:val="5C92D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A0745"/>
    <w:multiLevelType w:val="hybridMultilevel"/>
    <w:tmpl w:val="334E9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5345"/>
    <w:multiLevelType w:val="hybridMultilevel"/>
    <w:tmpl w:val="8A70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6A0394F"/>
    <w:multiLevelType w:val="hybridMultilevel"/>
    <w:tmpl w:val="A1E20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A12EF"/>
    <w:multiLevelType w:val="hybridMultilevel"/>
    <w:tmpl w:val="1B2E3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36335"/>
    <w:multiLevelType w:val="hybridMultilevel"/>
    <w:tmpl w:val="5EEE6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E24661"/>
    <w:multiLevelType w:val="hybridMultilevel"/>
    <w:tmpl w:val="6D888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A1414"/>
    <w:multiLevelType w:val="hybridMultilevel"/>
    <w:tmpl w:val="0AFCC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159C1"/>
    <w:multiLevelType w:val="hybridMultilevel"/>
    <w:tmpl w:val="F5C049C2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D867C0"/>
    <w:multiLevelType w:val="hybridMultilevel"/>
    <w:tmpl w:val="0B5C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17854"/>
    <w:multiLevelType w:val="hybridMultilevel"/>
    <w:tmpl w:val="10D03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E779C"/>
    <w:multiLevelType w:val="hybridMultilevel"/>
    <w:tmpl w:val="E6E0C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D7977"/>
    <w:multiLevelType w:val="hybridMultilevel"/>
    <w:tmpl w:val="574C843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045DE7"/>
    <w:multiLevelType w:val="hybridMultilevel"/>
    <w:tmpl w:val="6F048FDE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A03164"/>
    <w:multiLevelType w:val="hybridMultilevel"/>
    <w:tmpl w:val="2ADCA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E7B80"/>
    <w:multiLevelType w:val="hybridMultilevel"/>
    <w:tmpl w:val="7C1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8754ED"/>
    <w:multiLevelType w:val="hybridMultilevel"/>
    <w:tmpl w:val="A0544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592DEF"/>
    <w:multiLevelType w:val="hybridMultilevel"/>
    <w:tmpl w:val="E4983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85898"/>
    <w:multiLevelType w:val="hybridMultilevel"/>
    <w:tmpl w:val="FDA0A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0004A"/>
    <w:multiLevelType w:val="hybridMultilevel"/>
    <w:tmpl w:val="AA40F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46139"/>
    <w:multiLevelType w:val="hybridMultilevel"/>
    <w:tmpl w:val="BD587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7E008F"/>
    <w:multiLevelType w:val="hybridMultilevel"/>
    <w:tmpl w:val="AE267296"/>
    <w:lvl w:ilvl="0" w:tplc="0000002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2722A7"/>
    <w:multiLevelType w:val="hybridMultilevel"/>
    <w:tmpl w:val="4DAE5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36"/>
  </w:num>
  <w:num w:numId="5">
    <w:abstractNumId w:val="16"/>
  </w:num>
  <w:num w:numId="6">
    <w:abstractNumId w:val="40"/>
  </w:num>
  <w:num w:numId="7">
    <w:abstractNumId w:val="21"/>
  </w:num>
  <w:num w:numId="8">
    <w:abstractNumId w:val="3"/>
  </w:num>
  <w:num w:numId="9">
    <w:abstractNumId w:val="7"/>
  </w:num>
  <w:num w:numId="10">
    <w:abstractNumId w:val="10"/>
  </w:num>
  <w:num w:numId="11">
    <w:abstractNumId w:val="32"/>
  </w:num>
  <w:num w:numId="12">
    <w:abstractNumId w:val="35"/>
  </w:num>
  <w:num w:numId="13">
    <w:abstractNumId w:val="29"/>
  </w:num>
  <w:num w:numId="14">
    <w:abstractNumId w:val="23"/>
  </w:num>
  <w:num w:numId="15">
    <w:abstractNumId w:val="11"/>
  </w:num>
  <w:num w:numId="16">
    <w:abstractNumId w:val="37"/>
  </w:num>
  <w:num w:numId="17">
    <w:abstractNumId w:val="4"/>
  </w:num>
  <w:num w:numId="18">
    <w:abstractNumId w:val="17"/>
  </w:num>
  <w:num w:numId="19">
    <w:abstractNumId w:val="12"/>
  </w:num>
  <w:num w:numId="20">
    <w:abstractNumId w:val="24"/>
  </w:num>
  <w:num w:numId="21">
    <w:abstractNumId w:val="15"/>
  </w:num>
  <w:num w:numId="22">
    <w:abstractNumId w:val="19"/>
  </w:num>
  <w:num w:numId="23">
    <w:abstractNumId w:val="31"/>
  </w:num>
  <w:num w:numId="24">
    <w:abstractNumId w:val="39"/>
  </w:num>
  <w:num w:numId="25">
    <w:abstractNumId w:val="26"/>
  </w:num>
  <w:num w:numId="26">
    <w:abstractNumId w:val="28"/>
  </w:num>
  <w:num w:numId="27">
    <w:abstractNumId w:val="33"/>
  </w:num>
  <w:num w:numId="28">
    <w:abstractNumId w:val="18"/>
  </w:num>
  <w:num w:numId="29">
    <w:abstractNumId w:val="9"/>
  </w:num>
  <w:num w:numId="30">
    <w:abstractNumId w:val="8"/>
  </w:num>
  <w:num w:numId="31">
    <w:abstractNumId w:val="27"/>
  </w:num>
  <w:num w:numId="32">
    <w:abstractNumId w:val="13"/>
  </w:num>
  <w:num w:numId="33">
    <w:abstractNumId w:val="22"/>
  </w:num>
  <w:num w:numId="34">
    <w:abstractNumId w:val="14"/>
  </w:num>
  <w:num w:numId="35">
    <w:abstractNumId w:val="25"/>
  </w:num>
  <w:num w:numId="36">
    <w:abstractNumId w:val="30"/>
  </w:num>
  <w:num w:numId="37">
    <w:abstractNumId w:val="38"/>
  </w:num>
  <w:num w:numId="38">
    <w:abstractNumId w:val="3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2D1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17EBD"/>
    <w:rsid w:val="001201B4"/>
    <w:rsid w:val="001206D9"/>
    <w:rsid w:val="001210A4"/>
    <w:rsid w:val="001223DC"/>
    <w:rsid w:val="0012358D"/>
    <w:rsid w:val="0012439C"/>
    <w:rsid w:val="00124C33"/>
    <w:rsid w:val="001257C2"/>
    <w:rsid w:val="00125A63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5D3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D23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745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29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07E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121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4E2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0F75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2A8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67BBC-8E15-440C-B303-15E2356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2016-11-15T12:11:00Z</cp:lastPrinted>
  <dcterms:created xsi:type="dcterms:W3CDTF">2016-11-16T16:45:00Z</dcterms:created>
  <dcterms:modified xsi:type="dcterms:W3CDTF">2016-11-16T16:45:00Z</dcterms:modified>
</cp:coreProperties>
</file>