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B72D9C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B72D9C">
        <w:rPr>
          <w:sz w:val="28"/>
          <w:szCs w:val="28"/>
        </w:rPr>
        <w:t>996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Default="005909D9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D718B6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007718">
        <w:rPr>
          <w:sz w:val="28"/>
          <w:szCs w:val="28"/>
        </w:rPr>
        <w:t>Ж</w:t>
      </w:r>
      <w:proofErr w:type="gramEnd"/>
      <w:r w:rsidR="00007718">
        <w:rPr>
          <w:sz w:val="28"/>
          <w:szCs w:val="28"/>
        </w:rPr>
        <w:t xml:space="preserve"> 5 «</w:t>
      </w:r>
      <w:r w:rsidR="00007718" w:rsidRPr="00007718">
        <w:rPr>
          <w:sz w:val="28"/>
          <w:szCs w:val="28"/>
        </w:rPr>
        <w:t>Зона среднеэтажной застройки</w:t>
      </w:r>
      <w:r w:rsidR="0000771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изложить в следующей редакции:</w:t>
      </w:r>
    </w:p>
    <w:p w:rsidR="00007718" w:rsidRPr="00C24FE8" w:rsidRDefault="005909D9" w:rsidP="00007718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07718" w:rsidRPr="00C24FE8">
        <w:rPr>
          <w:b/>
          <w:sz w:val="28"/>
          <w:szCs w:val="28"/>
        </w:rPr>
        <w:t>Индекс зоны</w:t>
      </w:r>
      <w:proofErr w:type="gramStart"/>
      <w:r w:rsidR="00007718" w:rsidRPr="00C24FE8">
        <w:rPr>
          <w:b/>
          <w:sz w:val="28"/>
          <w:szCs w:val="28"/>
        </w:rPr>
        <w:t xml:space="preserve"> Ж</w:t>
      </w:r>
      <w:proofErr w:type="gramEnd"/>
      <w:r w:rsidR="00007718" w:rsidRPr="00C24FE8">
        <w:rPr>
          <w:b/>
          <w:sz w:val="28"/>
          <w:szCs w:val="28"/>
        </w:rPr>
        <w:t xml:space="preserve"> 5.</w:t>
      </w:r>
    </w:p>
    <w:p w:rsidR="00007718" w:rsidRPr="00C24FE8" w:rsidRDefault="00007718" w:rsidP="00007718">
      <w:pPr>
        <w:ind w:left="4500"/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 xml:space="preserve">Зона среднеэтажной застройки. </w:t>
      </w:r>
    </w:p>
    <w:p w:rsidR="00007718" w:rsidRPr="00C24FE8" w:rsidRDefault="00007718" w:rsidP="00007718">
      <w:pPr>
        <w:ind w:left="4500"/>
        <w:jc w:val="both"/>
        <w:rPr>
          <w:sz w:val="28"/>
          <w:szCs w:val="28"/>
        </w:rPr>
      </w:pPr>
    </w:p>
    <w:p w:rsidR="00007718" w:rsidRPr="00C24FE8" w:rsidRDefault="00007718" w:rsidP="00007718">
      <w:pPr>
        <w:ind w:firstLine="709"/>
        <w:jc w:val="both"/>
        <w:rPr>
          <w:sz w:val="28"/>
          <w:szCs w:val="28"/>
        </w:rPr>
      </w:pPr>
      <w:r w:rsidRPr="00C24FE8">
        <w:rPr>
          <w:sz w:val="28"/>
          <w:szCs w:val="28"/>
        </w:rPr>
        <w:t>Зона выделена для создания условий поддержания специфической историко-архитектурной среды исторической части города, сохранения панорамного силуэта правобережья, а также ландшафтно-градостроительной значимости территории и сохранения равновесия между жилыми и природными территориями.</w:t>
      </w:r>
    </w:p>
    <w:p w:rsidR="00007718" w:rsidRPr="00C24FE8" w:rsidRDefault="00007718" w:rsidP="00007718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6"/>
        <w:gridCol w:w="6947"/>
      </w:tblGrid>
      <w:tr w:rsidR="00007718" w:rsidRPr="00007718" w:rsidTr="005F344E">
        <w:tc>
          <w:tcPr>
            <w:tcW w:w="1330" w:type="pct"/>
            <w:gridSpan w:val="2"/>
          </w:tcPr>
          <w:p w:rsidR="00007718" w:rsidRPr="00007718" w:rsidRDefault="00007718" w:rsidP="000077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07718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007718" w:rsidRPr="00007718" w:rsidRDefault="00007718" w:rsidP="000077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07718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 xml:space="preserve">Участки, предназначенные для размещения блокированных жилых домов с </w:t>
            </w:r>
            <w:proofErr w:type="gramStart"/>
            <w:r w:rsidRPr="00007718">
              <w:t>блок-квартирами</w:t>
            </w:r>
            <w:proofErr w:type="gramEnd"/>
            <w:r w:rsidRPr="00007718">
              <w:t xml:space="preserve"> на одну семью.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007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 кв.м. 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160 %.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>Участки, предназначенные для размещения многоквартирных среднеэтажных жилых домов;</w:t>
            </w:r>
          </w:p>
          <w:p w:rsidR="00007718" w:rsidRPr="00007718" w:rsidRDefault="00007718" w:rsidP="00007718">
            <w:pPr>
              <w:rPr>
                <w:rFonts w:eastAsia="Calibri"/>
              </w:rPr>
            </w:pPr>
            <w:r w:rsidRPr="00007718">
              <w:rPr>
                <w:rFonts w:eastAsia="Calibri"/>
              </w:rPr>
              <w:t>общежитий;</w:t>
            </w:r>
          </w:p>
          <w:p w:rsidR="00007718" w:rsidRPr="00007718" w:rsidRDefault="00007718" w:rsidP="00007718">
            <w:r w:rsidRPr="00007718">
              <w:t>объектов торговли, общественного питания и бытового обслуживания;</w:t>
            </w:r>
          </w:p>
          <w:p w:rsidR="00007718" w:rsidRPr="00007718" w:rsidRDefault="00007718" w:rsidP="00007718">
            <w:pPr>
              <w:rPr>
                <w:rFonts w:eastAsia="Calibri"/>
              </w:rPr>
            </w:pPr>
            <w:r w:rsidRPr="00007718">
              <w:rPr>
                <w:rFonts w:eastAsia="Calibri"/>
              </w:rPr>
              <w:t>гостиниц;</w:t>
            </w:r>
          </w:p>
          <w:p w:rsidR="00007718" w:rsidRPr="00007718" w:rsidRDefault="00007718" w:rsidP="00007718">
            <w:r w:rsidRPr="00007718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этажей.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8 этажей.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07718" w:rsidRPr="00007718" w:rsidTr="005F344E">
        <w:tc>
          <w:tcPr>
            <w:tcW w:w="1330" w:type="pct"/>
            <w:gridSpan w:val="2"/>
            <w:shd w:val="clear" w:color="auto" w:fill="auto"/>
          </w:tcPr>
          <w:p w:rsidR="00007718" w:rsidRPr="00007718" w:rsidRDefault="00007718" w:rsidP="00007718">
            <w:r w:rsidRPr="00007718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007718" w:rsidRPr="00007718" w:rsidRDefault="00007718" w:rsidP="006B1565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007718" w:rsidRPr="00007718" w:rsidRDefault="00007718" w:rsidP="00007718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007718" w:rsidRPr="00007718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007718">
            <w:pPr>
              <w:snapToGrid w:val="0"/>
              <w:jc w:val="center"/>
              <w:rPr>
                <w:b/>
              </w:rPr>
            </w:pPr>
            <w:r w:rsidRPr="00007718">
              <w:rPr>
                <w:b/>
              </w:rPr>
              <w:t>Архитектурно-строительные требования.</w:t>
            </w:r>
          </w:p>
        </w:tc>
      </w:tr>
      <w:tr w:rsidR="00007718" w:rsidRPr="00007718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6B1565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007718">
              <w:t xml:space="preserve">Земельный участок, предназначенный </w:t>
            </w:r>
            <w:proofErr w:type="gramStart"/>
            <w:r w:rsidRPr="00007718">
              <w:t>для</w:t>
            </w:r>
            <w:proofErr w:type="gramEnd"/>
            <w:r w:rsidRPr="00007718">
              <w:t xml:space="preserve"> </w:t>
            </w:r>
            <w:proofErr w:type="gramStart"/>
            <w:r w:rsidRPr="00007718">
              <w:t>жилой</w:t>
            </w:r>
            <w:proofErr w:type="gramEnd"/>
            <w:r w:rsidRPr="00007718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007718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007718">
              <w:t>Размещение объектов в соответствии с местными нормативами градостроительного проектирования.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Расстояние до красных линий от предприятий и учреждений обслуживания принимаются в соответствии с проектом планировки.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Расстояние между домами внутри квартала (группы домов) принимаются в соответствии с нормами противопожарной безопасности и нормами инсоляции.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Предельная высота жилых зданий и общественных учреждений, а так же размещение многоэтажной застройки – в соответствии с проектом планировки;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Удельные размеры площадок для хозяйственных целей – 0,3 м²/чел., 1 контейнер на 10-15 семей.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Расстояние от площадок для мусоросборников до границ участков жилых домов, ДДУ, игровых площадок, озелененных площадок –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007718">
                <w:t>20 м</w:t>
              </w:r>
            </w:smartTag>
            <w:r w:rsidRPr="00007718">
              <w:t xml:space="preserve">., но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07718">
                <w:t>100 м</w:t>
              </w:r>
            </w:smartTag>
            <w:r w:rsidRPr="00007718">
              <w:t xml:space="preserve">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Иные параметры – в соответствии со СП 54.13330.2011 «Здания жилые многоквартирные. Актуализированная редакция </w:t>
            </w:r>
            <w:hyperlink r:id="rId8" w:history="1">
              <w:r w:rsidRPr="00007718">
                <w:t>СНиП 31-01-2003</w:t>
              </w:r>
            </w:hyperlink>
            <w:r w:rsidRPr="00007718">
              <w:t>»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2"/>
              </w:numPr>
              <w:suppressAutoHyphens w:val="0"/>
              <w:ind w:left="357" w:hanging="357"/>
              <w:jc w:val="both"/>
            </w:pPr>
            <w:r w:rsidRPr="00007718">
              <w:t xml:space="preserve">Объекты общественного назначения размещаются в первых </w:t>
            </w:r>
            <w:proofErr w:type="gramStart"/>
            <w:r w:rsidRPr="00007718">
              <w:t>этажах</w:t>
            </w:r>
            <w:proofErr w:type="gramEnd"/>
            <w:r w:rsidRPr="00007718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Устройство пандусов для удобного подъезда и проезда детских и инвалидных колясок.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Отделка фасадов существующей застройки долговечными, высококачественными материалами.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3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>Реконструкция существующих нагорных лестниц с возможной организацией смотровых площадок, с учетом доступности всех групп населения, включая маломобильных.</w:t>
            </w:r>
          </w:p>
        </w:tc>
      </w:tr>
      <w:tr w:rsidR="00007718" w:rsidRPr="00007718" w:rsidTr="005F34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007718">
            <w:pPr>
              <w:tabs>
                <w:tab w:val="left" w:pos="252"/>
                <w:tab w:val="left" w:pos="1155"/>
              </w:tabs>
              <w:snapToGrid w:val="0"/>
              <w:jc w:val="center"/>
              <w:rPr>
                <w:b/>
              </w:rPr>
            </w:pPr>
            <w:r w:rsidRPr="00007718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07718" w:rsidRPr="00007718" w:rsidTr="005F344E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007718">
            <w:pPr>
              <w:tabs>
                <w:tab w:val="left" w:pos="1155"/>
              </w:tabs>
              <w:snapToGrid w:val="0"/>
            </w:pPr>
            <w:r w:rsidRPr="00007718">
              <w:t>Охрана культурного наследия.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007718">
            <w:pPr>
              <w:pStyle w:val="310"/>
              <w:snapToGrid w:val="0"/>
              <w:ind w:firstLine="357"/>
              <w:rPr>
                <w:szCs w:val="24"/>
              </w:rPr>
            </w:pPr>
            <w:r w:rsidRPr="00007718">
              <w:rPr>
                <w:szCs w:val="24"/>
              </w:rPr>
              <w:t xml:space="preserve">Новое строительство возможно по </w:t>
            </w:r>
            <w:proofErr w:type="gramStart"/>
            <w:r w:rsidRPr="00007718">
              <w:rPr>
                <w:szCs w:val="24"/>
              </w:rPr>
              <w:t>индивидуальным проектам</w:t>
            </w:r>
            <w:proofErr w:type="gramEnd"/>
            <w:r w:rsidRPr="00007718">
              <w:rPr>
                <w:szCs w:val="24"/>
              </w:rPr>
              <w:t>, архитектурный облик которых вписывается в окружающую среду.</w:t>
            </w:r>
          </w:p>
          <w:p w:rsidR="00007718" w:rsidRPr="00007718" w:rsidRDefault="00007718" w:rsidP="00007718">
            <w:pPr>
              <w:pStyle w:val="310"/>
              <w:widowControl w:val="0"/>
              <w:ind w:firstLine="357"/>
              <w:rPr>
                <w:szCs w:val="24"/>
              </w:rPr>
            </w:pPr>
            <w:r w:rsidRPr="00007718">
              <w:rPr>
                <w:szCs w:val="24"/>
              </w:rPr>
              <w:t xml:space="preserve">Надстройка зданий периода «советского классицизма» нежелательна. Их главные фасады должны сохраняться, а к дворовым могут осуществляться пристройки. Следует также охранять архитектурный стиль ансамблевой застройки советского периода (конца 40-х – нач.50-х гг. ХХ </w:t>
            </w:r>
            <w:proofErr w:type="gramStart"/>
            <w:r w:rsidRPr="00007718">
              <w:rPr>
                <w:szCs w:val="24"/>
              </w:rPr>
              <w:t>в</w:t>
            </w:r>
            <w:proofErr w:type="gramEnd"/>
            <w:r w:rsidRPr="00007718">
              <w:rPr>
                <w:szCs w:val="24"/>
              </w:rPr>
              <w:t>.).</w:t>
            </w:r>
          </w:p>
          <w:p w:rsidR="00007718" w:rsidRPr="00007718" w:rsidRDefault="00007718" w:rsidP="00007718">
            <w:pPr>
              <w:ind w:firstLine="357"/>
              <w:jc w:val="both"/>
            </w:pPr>
            <w:r w:rsidRPr="00007718">
              <w:t xml:space="preserve">Необходимо придерживаться принципа соблюдения архитектурного масштаба по улицам с сохранившейся исторической застройкой. </w:t>
            </w:r>
          </w:p>
          <w:p w:rsidR="00007718" w:rsidRPr="00007718" w:rsidRDefault="00007718" w:rsidP="00007718">
            <w:pPr>
              <w:ind w:firstLine="357"/>
              <w:jc w:val="both"/>
            </w:pPr>
            <w:r w:rsidRPr="00007718">
              <w:t>Градостроительные акценты в виде домов повышенной этажности на перекрестках улиц или на площадях должны прорабатываться в специальных проектах, с проверкой ландшафтным анализом, с врисовкой в панорамы города и отдельные видовые участки.</w:t>
            </w:r>
          </w:p>
          <w:p w:rsidR="00007718" w:rsidRPr="00007718" w:rsidRDefault="00007718" w:rsidP="00007718">
            <w:pPr>
              <w:ind w:firstLine="357"/>
              <w:jc w:val="both"/>
            </w:pPr>
            <w:r w:rsidRPr="00007718">
              <w:t xml:space="preserve">Реконструкция жилья, новое строительство для района ВГЛТА-ВГАУ должно осуществляться по </w:t>
            </w:r>
            <w:proofErr w:type="gramStart"/>
            <w:r w:rsidRPr="00007718">
              <w:t>индивидуальным проектам</w:t>
            </w:r>
            <w:proofErr w:type="gramEnd"/>
            <w:r w:rsidRPr="00007718">
              <w:t xml:space="preserve">  при соответствующем архитектурно-планировочном и экологическом обосновании.</w:t>
            </w:r>
          </w:p>
          <w:p w:rsidR="00007718" w:rsidRPr="00007718" w:rsidRDefault="00007718" w:rsidP="00007718">
            <w:pPr>
              <w:pStyle w:val="ad"/>
              <w:ind w:firstLine="357"/>
              <w:rPr>
                <w:sz w:val="24"/>
                <w:szCs w:val="24"/>
              </w:rPr>
            </w:pPr>
            <w:r w:rsidRPr="00007718">
              <w:rPr>
                <w:sz w:val="24"/>
                <w:szCs w:val="24"/>
              </w:rPr>
              <w:t>В зоне</w:t>
            </w:r>
            <w:proofErr w:type="gramStart"/>
            <w:r w:rsidRPr="00007718">
              <w:rPr>
                <w:sz w:val="24"/>
                <w:szCs w:val="24"/>
              </w:rPr>
              <w:t xml:space="preserve"> Ж</w:t>
            </w:r>
            <w:proofErr w:type="gramEnd"/>
            <w:r w:rsidRPr="00007718">
              <w:rPr>
                <w:sz w:val="24"/>
                <w:szCs w:val="24"/>
              </w:rPr>
              <w:t xml:space="preserve"> 5 расположены объекты культурного наследия, в том числе, отдельные здания и сооружения, ансамбли, усадебные комплексы (приложение  к ст.21) №№ 3, 4, 11, 15, 23, 24, 27, 33, 34, 59, 61, 66, 67, 68, 70, 87, 89, 96, 130-132, 134-136, 165, 166, 169, 172, 173, 216, 218, 219, 220, 221, 222, 223, 224, 228, 233, 237, 239, 240, </w:t>
            </w:r>
            <w:proofErr w:type="gramStart"/>
            <w:r w:rsidRPr="00007718">
              <w:rPr>
                <w:sz w:val="24"/>
                <w:szCs w:val="24"/>
              </w:rPr>
              <w:t>241, 244, 247, 252, 253, 259, 260, 262, 263, 264, 265, 281, 282, 290, 291, 304б, 304в, 304г, 304д, 304м, 340)</w:t>
            </w:r>
            <w:proofErr w:type="gramEnd"/>
          </w:p>
          <w:p w:rsidR="00007718" w:rsidRPr="00007718" w:rsidRDefault="00007718" w:rsidP="00007718">
            <w:pPr>
              <w:shd w:val="clear" w:color="auto" w:fill="FFFFFF"/>
              <w:ind w:firstLine="357"/>
              <w:jc w:val="both"/>
            </w:pPr>
            <w:r w:rsidRPr="00007718">
              <w:t>Проектирование и проведение работ по сохранению памятника и его территорий осуществляется в соответствии с законодательством Воронежской области.</w:t>
            </w:r>
          </w:p>
          <w:p w:rsidR="00007718" w:rsidRPr="00007718" w:rsidRDefault="00007718" w:rsidP="00007718">
            <w:pPr>
              <w:tabs>
                <w:tab w:val="left" w:pos="252"/>
              </w:tabs>
              <w:ind w:firstLine="357"/>
              <w:jc w:val="both"/>
            </w:pPr>
            <w:r w:rsidRPr="00007718">
              <w:t>В непосредственной близости от памятников обновление сложившейся ситуации должно проводиться с учетом традиционных типологических характеристик градостроительного окружения объектов охраны с использованием методов сомасштабного нового строительства.</w:t>
            </w:r>
          </w:p>
        </w:tc>
      </w:tr>
      <w:tr w:rsidR="00007718" w:rsidRPr="00007718" w:rsidTr="005F344E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007718">
            <w:pPr>
              <w:tabs>
                <w:tab w:val="left" w:pos="1155"/>
              </w:tabs>
            </w:pPr>
            <w:r w:rsidRPr="00007718">
              <w:t>Санитарно-гигиенические и  экологические требования.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718" w:rsidRPr="00007718" w:rsidRDefault="00007718" w:rsidP="006B1565">
            <w:pPr>
              <w:widowControl/>
              <w:numPr>
                <w:ilvl w:val="0"/>
                <w:numId w:val="4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Площадь озеленения территорий жилых кварталов не менее 6 м²/чел. (без учета участков школ и детских дошкольных учреждений).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4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Организация ливневой канализации.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4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Санитарная очистка территории.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4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 xml:space="preserve">Организация системы подпорных стенок и открытых лотков стока на крутых участках рельефа. 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4"/>
              </w:numPr>
              <w:suppressAutoHyphens w:val="0"/>
              <w:snapToGrid w:val="0"/>
              <w:ind w:left="357" w:hanging="357"/>
              <w:jc w:val="both"/>
            </w:pPr>
            <w:r w:rsidRPr="00007718">
              <w:t>Для района ВГАУ-ВГЛТА запрещается размещение объектов, представляющих собой экологическую опасность и всякая деятельность, угрожающая природному комплексу.</w:t>
            </w:r>
          </w:p>
          <w:p w:rsidR="00007718" w:rsidRPr="00007718" w:rsidRDefault="00007718" w:rsidP="006B1565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71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проектируемой линией жилой застройкой и ближайшим краем лесного массива следует принимать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07718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007718">
              <w:rPr>
                <w:rFonts w:ascii="Times New Roman" w:hAnsi="Times New Roman" w:cs="Times New Roman"/>
                <w:sz w:val="24"/>
                <w:szCs w:val="24"/>
              </w:rPr>
              <w:t xml:space="preserve"> (п. 2.2.3.5. регионального норматива градостроительного проектирования «Планировка жилых, общественно-деловых и рекреационных зон населенных пунктов Воронежской области», утвержденного приказом управления архитектуры и градостроительства Воронежской области от 17.04.2008 № 9-п).</w:t>
            </w:r>
          </w:p>
          <w:p w:rsidR="00007718" w:rsidRPr="00007718" w:rsidRDefault="00007718" w:rsidP="006B1565">
            <w:pPr>
              <w:widowControl/>
              <w:numPr>
                <w:ilvl w:val="0"/>
                <w:numId w:val="2"/>
              </w:numPr>
              <w:suppressAutoHyphens w:val="0"/>
              <w:snapToGrid w:val="0"/>
              <w:ind w:left="357" w:hanging="357"/>
              <w:jc w:val="both"/>
            </w:pPr>
            <w:proofErr w:type="gramStart"/>
            <w:r w:rsidRPr="00007718">
              <w:t>Для застройки в районе ВГЛТА-ВГАУ: установление режима регулирования хозяйственной деятельности и восстановление связи с прилегающей природной средой согласно Закона РФ от 14.03.1995 № 33-ФЗ «Об особо охраняемых природных территориях» в целях защиты природных территорий от неблагоприятных антропогенных воздействий (постановление главы администрации г. Воронежа от 29.04.1995 № 325 «Об утверждении схемы функционального зонирования в районе ВГЛТА-ВГАУ»).»</w:t>
            </w:r>
            <w:proofErr w:type="gramEnd"/>
          </w:p>
        </w:tc>
      </w:tr>
    </w:tbl>
    <w:p w:rsidR="005909D9" w:rsidRDefault="005909D9" w:rsidP="00007718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rPr>
          <w:sz w:val="28"/>
          <w:szCs w:val="28"/>
        </w:rPr>
      </w:pPr>
    </w:p>
    <w:p w:rsidR="005909D9" w:rsidRDefault="005909D9" w:rsidP="005909D9">
      <w:pPr>
        <w:jc w:val="both"/>
        <w:rPr>
          <w:b/>
          <w:sz w:val="28"/>
          <w:szCs w:val="28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</w:p>
    <w:p w:rsidR="00A32E9A" w:rsidRPr="002F1BC4" w:rsidRDefault="00A32E9A" w:rsidP="00E072F1">
      <w:pPr>
        <w:rPr>
          <w:szCs w:val="28"/>
        </w:rPr>
      </w:pPr>
      <w:bookmarkStart w:id="0" w:name="_GoBack"/>
      <w:bookmarkEnd w:id="0"/>
    </w:p>
    <w:sectPr w:rsidR="00A32E9A" w:rsidRPr="002F1BC4" w:rsidSect="00E072F1">
      <w:headerReference w:type="default" r:id="rId9"/>
      <w:footnotePr>
        <w:pos w:val="beneathText"/>
      </w:footnotePr>
      <w:pgSz w:w="11905" w:h="16837"/>
      <w:pgMar w:top="709" w:right="567" w:bottom="992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0C" w:rsidRDefault="00651C0C">
      <w:r>
        <w:separator/>
      </w:r>
    </w:p>
  </w:endnote>
  <w:endnote w:type="continuationSeparator" w:id="0">
    <w:p w:rsidR="00651C0C" w:rsidRDefault="0065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0C" w:rsidRDefault="00651C0C">
      <w:r>
        <w:separator/>
      </w:r>
    </w:p>
  </w:footnote>
  <w:footnote w:type="continuationSeparator" w:id="0">
    <w:p w:rsidR="00651C0C" w:rsidRDefault="00651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8D7558" w:rsidP="005909D9">
    <w:pPr>
      <w:pStyle w:val="af2"/>
      <w:jc w:val="center"/>
    </w:pPr>
    <w:r>
      <w:fldChar w:fldCharType="begin"/>
    </w:r>
    <w:r w:rsidR="00B657A8">
      <w:instrText xml:space="preserve"> PAGE   \* MERGEFORMAT </w:instrText>
    </w:r>
    <w:r>
      <w:fldChar w:fldCharType="separate"/>
    </w:r>
    <w:r w:rsidR="00B72D9C">
      <w:rPr>
        <w:noProof/>
      </w:rPr>
      <w:t>6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>
    <w:nsid w:val="066576D9"/>
    <w:multiLevelType w:val="hybridMultilevel"/>
    <w:tmpl w:val="565EE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73B5"/>
    <w:multiLevelType w:val="hybridMultilevel"/>
    <w:tmpl w:val="6192B236"/>
    <w:lvl w:ilvl="0" w:tplc="04190011">
      <w:start w:val="1"/>
      <w:numFmt w:val="decimal"/>
      <w:lvlText w:val="%1)"/>
      <w:lvlJc w:val="left"/>
      <w:pPr>
        <w:ind w:left="1319" w:hanging="360"/>
      </w:p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5">
    <w:nsid w:val="0F211518"/>
    <w:multiLevelType w:val="hybridMultilevel"/>
    <w:tmpl w:val="B6AA1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15E6B"/>
    <w:multiLevelType w:val="hybridMultilevel"/>
    <w:tmpl w:val="F3EAE314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D7237"/>
    <w:multiLevelType w:val="hybridMultilevel"/>
    <w:tmpl w:val="CEE481EE"/>
    <w:lvl w:ilvl="0" w:tplc="04190011">
      <w:start w:val="1"/>
      <w:numFmt w:val="decimal"/>
      <w:lvlText w:val="%1)"/>
      <w:lvlJc w:val="left"/>
      <w:pPr>
        <w:ind w:left="1319" w:hanging="360"/>
      </w:p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8">
    <w:nsid w:val="35B36054"/>
    <w:multiLevelType w:val="hybridMultilevel"/>
    <w:tmpl w:val="71321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84641"/>
    <w:multiLevelType w:val="hybridMultilevel"/>
    <w:tmpl w:val="C19E3D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F4F61"/>
    <w:multiLevelType w:val="hybridMultilevel"/>
    <w:tmpl w:val="F3EE7D98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557F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0F06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1C0C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1565"/>
    <w:rsid w:val="006B2934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2D68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D7558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4E9A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1D1C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57A8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2D9C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6BE2"/>
    <w:rsid w:val="00C87209"/>
    <w:rsid w:val="00C909AF"/>
    <w:rsid w:val="00C9157A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18B6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2F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B10EA45CC3BAB2DCFD621CAAA44D8F6623Y9F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A2AF9-713A-470F-8C28-D0E3E556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2016-11-15T12:03:00Z</cp:lastPrinted>
  <dcterms:created xsi:type="dcterms:W3CDTF">2016-11-16T16:18:00Z</dcterms:created>
  <dcterms:modified xsi:type="dcterms:W3CDTF">2016-11-16T16:18:00Z</dcterms:modified>
</cp:coreProperties>
</file>