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776BA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13.08.2018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776BA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776BA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514</w:t>
            </w:r>
          </w:p>
        </w:tc>
      </w:tr>
    </w:tbl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5A0AF6" w:rsidRPr="002367D4" w:rsidRDefault="005A0AF6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3F706C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776BAF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1D46D7" w:rsidRPr="00B8132A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обеспечение поступления неналоговых доходов в бюджет городского округа город Воронеж от использования и реализации имущества;</w:t>
            </w:r>
          </w:p>
          <w:p w:rsidR="001D46D7" w:rsidRPr="001B4C2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совершенствование системы учета муниципального имущества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  <w:r w:rsidRPr="001B4C2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обеспечение </w:t>
            </w:r>
            <w:proofErr w:type="gramStart"/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сохранностью и целевым использованием муниципального имущества;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оптимизация состава муниципальной собственности городского округа город Воронеж;</w:t>
            </w:r>
          </w:p>
          <w:p w:rsidR="001D46D7" w:rsidRPr="009A0C32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оптимизация размещения рекламных конструкций на территории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2014–2020 годы (один этап)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городского округа город Воронеж составляет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F04E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941268,8</w:t>
            </w:r>
            <w:r w:rsidR="001B662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2014 году – 513 841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2015 году – 43 619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2016 году – </w:t>
            </w:r>
            <w:r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79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Pr="008314C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</w:t>
            </w:r>
            <w:r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66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37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75 857,3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2018 году – </w:t>
            </w:r>
            <w:r w:rsidR="00F04E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95 757,2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2019 году –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66 189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2020 году –</w:t>
            </w:r>
            <w:r w:rsidRPr="000C576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66 039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объектов недвижимости, на которые зарегистрировано право собственности городского округа город Воронеж, до 56,61 % в 2020 году;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земельных участков, на которые зарегистрировано право собственности городского округа город Воронеж, до 3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9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98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 % в 2020 году;</w:t>
            </w:r>
          </w:p>
          <w:p w:rsidR="001D46D7" w:rsidRPr="00731891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</w:t>
            </w:r>
            <w:r w:rsidRPr="0019259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375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 к 2020 году;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gramStart"/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инвентаризации объектов недвижимого имущества муниципального уровня собственности</w:t>
            </w:r>
            <w:proofErr w:type="gramEnd"/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проверок на предмет их целевого использования в количестве 4</w:t>
            </w:r>
            <w:r w:rsidRPr="0019259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668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 к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2020 году;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391D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площади земельных участков, являющихся объектами налогообложения земельным налогом, в общей площади территории городского округа до 70 % к 2020 году</w:t>
            </w:r>
          </w:p>
        </w:tc>
      </w:tr>
    </w:tbl>
    <w:p w:rsidR="001D46D7" w:rsidRPr="00C21EE5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2" w:name="Par95"/>
      <w:bookmarkEnd w:id="2"/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1. ОБЩАЯ ХАРАКТЕРИСТИКА СФЕРЫ РЕАЛИЗАЦИИ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МУНИЦИПАЛЬНОЙ 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муниципальной собственностью городского округа город Воронеж является неотъемлемой частью деятельности органов местного самоуправления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направлена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>на достижение основных целей и реализацию задач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управления муниципальным имуществом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муниципальной собственности.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Полномочия собственника от имени муниципального образования городской округ город Воронеж по владению, пользованию и распоряжению муниципальным имуществом в порядке, определенном действующим законодательством, осуществляет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полномочий собственника требует объективных и точных сведений о составе, количестве и качественных характеристиках имущества посредством построения целостной системы учета имущества, а также его правообладателей – хозяйствующих субъектов. В целях комплексного информационно-аналитического обеспечения основных процессов управления муниципальным имуществом в управлении имущественных и земельных отношений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город Воронеж внедрена автоматизированная информационная система управления муниципальной собственностью городского округа город Воронеж. В соответствии с нормативными правовыми актами городского округа город Воронеж управление имущественных и земельных отношений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осуществляет функцию по организации ведения реестра муниципального имущества городского округа город Воронеж (далее – реестр муниципального имущества) в отношении: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земельных участков муниципального уровня собственности;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составляющего казну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закрепленного за муниципальными предприятиями и учреждениями на правах хозяйственного ведения и оперативного управления;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акций и долей (вкладов) в уставном (складочном) капитале хозяйственных обществ и товариществ, хозяйственных обществ, товариществ, акции, доли (вклады) в уставном (складочном) капитале которых принадлежат муниципальному образованию городской округ город Воронеж, иных юридических лиц, учредителем (участником) которых является муниципальное образование.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01.01.2014 в реестре муниципального имущества  содержатся сведения о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349 объектах инженерной инфраструктуры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759 объектах недвижимого имущества муниципальной собственности общей площадью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747,9 тыс. кв. м, в том числе: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 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545 объектов (1583,5 тыс. кв. м), находящихся в хозяйственном ведении муниципальных унитарных предприятий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 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161 объект 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982,2 тыс. кв. м), находящийся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оперативном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правлении муниципальных учреждений и муниципальных казенных предприятий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 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053 объекта 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182,2 тыс. кв. м),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находящихся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казне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имущественных и земельных отношений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также ведется работа по включению в реестр муниципального имущества, принимаемого из собственности Российской Федерации и субъектов Российской Федерации; имущества, приобретаемого в собственность муниципального образования; бесхозяйного 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Проводимые мероприятия по регистрации права собственности муниципального образования на объекты недвижимости и земельные участки, осуществление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их сохранностью и использованием по целевому назначению позволяют обеспечить защиту имущественных прав городского округа город Воронеж и создают условия для наиболее эффективного управления муниципальным имуществом.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</w:rPr>
        <w:t>Государственная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регистрация права муниципального образования городской округ город Воронеж осуществлена в отношении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 xml:space="preserve">9 105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имущества общей площадью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675,3 тыс. кв. м, что составляет 36,8 % от общего количества объектов, подлежащих 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(24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759 объектов), в том числе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2 202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 коммунальной инфраструктуры.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Право собственности муниципального образования зарегистрировано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474 земельных участка, что составляет 32,89 % от общего количества земельных участков, подлежащих регистрации (4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482 земельных участка).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городской округ город Воронеж является владельцем акций (долей) в уставных (складочных) капиталах 15 хозяйствующих субъектов.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>Состав муниципального имущества городского округа город Воронеж постоянно меняется, в том числе по причине оптимизации сети муниципальных учреждений и предприятий, приватизации муниципального имущества, а также приобретения в собственность муниципального образования объектов.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Рекламно-информационное пространство является неотъемлемой частью формирования современной городской среды. Рекламно-информационное пространство – один из системообразующих элементов общества, объединяющий в себе все рекламно-информационные ресурсы и рекламную инфраструктуру, то есть всю сферу использования, распространения и формирования рекламной и другого вида информации.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>Поэтому совершенствование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рекламно-информационного пространства на территории городского округа город Воронеж позволит обеспечить качественный доступ всех членов общества к информационным ресурсам.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сегодняшний день можно считать следующие: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 ухудшение архитектурного облика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застройки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из-за чрезмерного количества рекламных конструкций;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 наличие большого количества самовольно установленных конструкций.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на территории городского округа город Воронеж требований Федерального </w:t>
      </w:r>
      <w:hyperlink r:id="rId8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13.03.2006 № 38-ФЗ «О рекламе» и иных нормативных правовых актов в области распространения наружной рекламы и информации является важным условием эффективного управления рекламно-информационным пространством городского округа город Воронеж в соответствии с возложенными на управление имущественных и земельных отношений администрации городского округа город Воронеж полномочиями.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В соответствии с Законом Воронежской области от 30.12.2014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№ 217-ОЗ «О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области», постановлением правительства Воронежской области от 09.02.2015 № 60 «О внесении изменений в постановление правительства Воронежской области от 08.05.2009 № 365» с 01.01.2015 департамент имущественных и земельных отношений Воронежской области наделен полномочиями по утверждению схемы размещения</w:t>
      </w:r>
      <w:proofErr w:type="gramEnd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 рекламных конструкций, выдаче разрешений на установку и эксплуатацию рекламных конструкций на территории городского округа город Воронеж, аннулированию таких разрешений,  выдаче предписаний о демонтаже рекламных конструкций, установленных и (или) эксплуатируемых без разрешений, срок действия которых не истек, на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Управление имущественных и земельных отношений администрации городского округа город Воронеж с 2014 года является уполномоченным органом по осуществлению мероприятий по демонтажу рекламных конструкций, установленных и (или) эксплуатируемых на территории муниципального образования с нарушением требований законодательства о рекламе.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демонтажа незаконных рекламных конструкций регламентирован постановлением администрации городского округа город Воронеж от 07.09.2015 № 685 «Об утверждении Порядка 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Воронеж». В соответствии с требованиями данного нормативного правового акта демонтаж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рекламоносителей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на основании уведомлений о демонтаже, поступающих от департамента имущественных и земельных отношений Воронежской области, с приложением актов осмотра мест установки рекламных конструкций и материалов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Функции по организации работ по разработке и реализации программ размещения социальной рекламы и праздничного оформления территории городского округа город Воронеж осуществляются с привлечением муниципальных предприятий и учреждений, иных организаций, обладающих правами на установку объектов наружной рекламы.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Одним из основных показателей эффективности управления муниципальным имуществом является получение неналоговых имущественных платежей, зачисляемых в доход бюджета городского округа город Воронеж. Важной задачей является обеспечение роста 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доходов местного бюджета с сохранением оптимального уровня расходов на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содержание и управление муниципальным имуществом. Вместе с тем с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уществует ряд проблем, препятствующих эффективному распоряжению муниципальной собственностью: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неопределенный правовой статус многих объектов недвижимого имущества, расположенных на территории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низкая инвестиционная привлекательность ряда объектов муниципальной собственности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неиспользование, нецелевое, неправомерное использование муниципального имущества, находящегося в пользовании, хозяйственном ведении, оперативном управлении муниципальных организаций.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Целесообразность решения вышеуказанных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по внедрению и использованию современных методов, механизмов и инструментов организации управления муниципальным имуществом городского округа город Воронеж. 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рограмма в целом определяет основные цели и задачи в сфере </w:t>
      </w:r>
      <w:proofErr w:type="spell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имущественно</w:t>
      </w:r>
      <w:proofErr w:type="spell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-земельных отношений, а также в области формирования единого рекламно-информационного пространства городского округа город Воронеж, систему мероприятий по их достижению с указанием сроков реализации, ресурсного обеспечения, планируемых показателей (индикаторов) и ожидаемых результатов реализации. Совершенствование системы управления и распоряжения муниципальным имуществом городского округа город Воронеж путем внедрения современных форм и методов управления позволит оптимизировать состав муниципального имущества городского округа город Воронеж, повысить эффективность и прозрачность использования и распоряжения объектами недвижимого имущества.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2. ПРИОРИТЕТЫ МУНИЦИПАЛЬНОЙ ПОЛИТИКИ В СФЕРЕ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обеспечение поступления неналоговых доходов в бюджет городского округа город Воронеж от использования и реализации имущества;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совершенствование системы учета муниципального имущества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 обеспечение </w:t>
      </w:r>
      <w:proofErr w:type="gramStart"/>
      <w:r w:rsidRPr="00E940E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hAnsi="Times New Roman"/>
          <w:sz w:val="28"/>
          <w:szCs w:val="28"/>
          <w:lang w:eastAsia="ru-RU"/>
        </w:rPr>
        <w:t xml:space="preserve"> сохранностью и целевым использованием муниципального имущества;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 оптимизация состава муниципальной собственности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(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индикатор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м)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765AEE" w:rsidRDefault="001D46D7" w:rsidP="001D46D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765AEE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</w:p>
    <w:p w:rsidR="001D46D7" w:rsidRPr="00765AEE" w:rsidRDefault="001D46D7" w:rsidP="001D46D7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65AEE">
        <w:rPr>
          <w:rFonts w:ascii="Times New Roman" w:hAnsi="Times New Roman"/>
          <w:sz w:val="28"/>
          <w:szCs w:val="28"/>
        </w:rPr>
        <w:t>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AEE">
        <w:rPr>
          <w:rFonts w:ascii="Times New Roman" w:hAnsi="Times New Roman"/>
          <w:sz w:val="28"/>
          <w:szCs w:val="28"/>
        </w:rPr>
        <w:t>собственности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Воронеж, от общего количества объектов недвижимости муниципального уровня собственности, подлежащих регистрации;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общее количество объектов недвижимости, числящихся в рее</w:t>
      </w:r>
      <w:r>
        <w:rPr>
          <w:rFonts w:ascii="Times New Roman" w:hAnsi="Times New Roman"/>
          <w:sz w:val="28"/>
          <w:szCs w:val="28"/>
        </w:rPr>
        <w:t>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>, по состоянию на конец отчетного периода, вещные права</w:t>
      </w:r>
      <w:r w:rsidR="001733E1">
        <w:rPr>
          <w:rFonts w:ascii="Times New Roman" w:hAnsi="Times New Roman"/>
          <w:sz w:val="28"/>
          <w:szCs w:val="28"/>
        </w:rPr>
        <w:t>,</w:t>
      </w:r>
      <w:r w:rsidRPr="00E940ED">
        <w:rPr>
          <w:rFonts w:ascii="Times New Roman" w:hAnsi="Times New Roman"/>
          <w:sz w:val="28"/>
          <w:szCs w:val="28"/>
        </w:rPr>
        <w:t xml:space="preserve"> которые подлежат оформлению в соответствии с Федеральным </w:t>
      </w:r>
      <w:hyperlink r:id="rId9" w:history="1">
        <w:r w:rsidRPr="00E940ED">
          <w:rPr>
            <w:rFonts w:ascii="Times New Roman" w:hAnsi="Times New Roman"/>
            <w:sz w:val="28"/>
            <w:szCs w:val="28"/>
          </w:rPr>
          <w:t>законом</w:t>
        </w:r>
      </w:hyperlink>
      <w:r w:rsidRPr="00E940ED">
        <w:rPr>
          <w:rFonts w:ascii="Times New Roman" w:hAnsi="Times New Roman"/>
          <w:sz w:val="28"/>
          <w:szCs w:val="28"/>
        </w:rPr>
        <w:t xml:space="preserve"> </w:t>
      </w:r>
      <w:r w:rsidRPr="005D7C87">
        <w:rPr>
          <w:rFonts w:ascii="Times New Roman" w:hAnsi="Times New Roman"/>
          <w:sz w:val="28"/>
          <w:szCs w:val="28"/>
        </w:rPr>
        <w:t>от 13.07.2015 N 218-ФЗ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D7C87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/>
          <w:sz w:val="28"/>
          <w:szCs w:val="28"/>
        </w:rPr>
        <w:t>»</w:t>
      </w:r>
      <w:r w:rsidRPr="005D7C87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(шт.).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E940ED">
        <w:rPr>
          <w:rFonts w:ascii="Times New Roman" w:hAnsi="Times New Roman"/>
          <w:sz w:val="28"/>
          <w:szCs w:val="28"/>
        </w:rPr>
        <w:t>. Доля земельных участков, на которые зарегистрировано право собственности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– 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E940ED">
        <w:rPr>
          <w:rFonts w:ascii="Times New Roman" w:hAnsi="Times New Roman"/>
          <w:sz w:val="28"/>
          <w:szCs w:val="28"/>
        </w:rPr>
        <w:t>МУз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МУобщ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МУ – доля земельных участков, на которые зарегистрировано право собственности городского округа город Воронеж, от общего количества земельных участков, относящихся к собственности муниципального образования;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МУз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по состоянию </w:t>
      </w:r>
      <w:proofErr w:type="gramStart"/>
      <w:r w:rsidRPr="00E940ED">
        <w:rPr>
          <w:rFonts w:ascii="Times New Roman" w:hAnsi="Times New Roman"/>
          <w:sz w:val="28"/>
          <w:szCs w:val="28"/>
        </w:rPr>
        <w:t>на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конец отчетного периода (шт.);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МУобщ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общее количество земельных участков, числящихся в р</w:t>
      </w:r>
      <w:r>
        <w:rPr>
          <w:rFonts w:ascii="Times New Roman" w:hAnsi="Times New Roman"/>
          <w:sz w:val="28"/>
          <w:szCs w:val="28"/>
        </w:rPr>
        <w:t>еестре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>, по состоянию на конец отчетного периода (шт.).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C30213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 индикатора – отчетные данные управления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Показателем (</w:t>
      </w:r>
      <w:r w:rsidRPr="000E7055">
        <w:rPr>
          <w:rFonts w:ascii="Times New Roman" w:hAnsi="Times New Roman"/>
          <w:sz w:val="28"/>
          <w:szCs w:val="28"/>
        </w:rPr>
        <w:t>индикатором</w:t>
      </w: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 2 муниципальной программы является: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изменения – ед.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</w:t>
      </w:r>
      <w:r w:rsidRPr="000E7055">
        <w:rPr>
          <w:rFonts w:ascii="Times New Roman" w:hAnsi="Times New Roman"/>
          <w:sz w:val="28"/>
          <w:szCs w:val="28"/>
        </w:rPr>
        <w:t>и их значениях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приведены в </w:t>
      </w:r>
      <w:hyperlink r:id="rId10" w:history="1">
        <w:r w:rsidRPr="00E940ED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 итогам реализации муниципальной программы планируется достичь следующ</w:t>
      </w:r>
      <w:r>
        <w:rPr>
          <w:rFonts w:ascii="Times New Roman" w:hAnsi="Times New Roman"/>
          <w:sz w:val="28"/>
          <w:szCs w:val="28"/>
        </w:rPr>
        <w:t>их</w:t>
      </w:r>
      <w:r w:rsidRPr="00E940ED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E940ED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объектов недвижимости, на которые зарегистрировано право собственности городского округа город Воронеж, до 56,61 % в 2020 году;</w:t>
      </w:r>
    </w:p>
    <w:p w:rsidR="001D46D7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земельных участков,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на которые зарегистрировано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право собственности городского округа город Воронеж, до </w:t>
      </w:r>
      <w:r>
        <w:rPr>
          <w:rFonts w:ascii="Times New Roman" w:hAnsi="Times New Roman"/>
          <w:sz w:val="28"/>
          <w:szCs w:val="28"/>
          <w:lang w:eastAsia="ru-RU"/>
        </w:rPr>
        <w:t>39,98</w:t>
      </w:r>
      <w:r w:rsidRPr="00E940ED">
        <w:rPr>
          <w:rFonts w:ascii="Times New Roman" w:hAnsi="Times New Roman"/>
          <w:sz w:val="28"/>
          <w:szCs w:val="28"/>
          <w:lang w:eastAsia="ru-RU"/>
        </w:rPr>
        <w:t> % в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hAnsi="Times New Roman"/>
          <w:sz w:val="28"/>
          <w:szCs w:val="28"/>
          <w:lang w:eastAsia="ru-RU"/>
        </w:rPr>
        <w:t>2020 году;</w:t>
      </w:r>
    </w:p>
    <w:p w:rsidR="001D46D7" w:rsidRPr="004440C3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0C3">
        <w:rPr>
          <w:rFonts w:ascii="Times New Roman" w:hAnsi="Times New Roman"/>
          <w:sz w:val="28"/>
          <w:szCs w:val="28"/>
          <w:lang w:eastAsia="ru-RU"/>
        </w:rPr>
        <w:t>- </w:t>
      </w:r>
      <w:r w:rsidRPr="004440C3">
        <w:rPr>
          <w:rFonts w:ascii="Times New Roman" w:eastAsiaTheme="minorHAnsi" w:hAnsi="Times New Roman"/>
          <w:sz w:val="28"/>
          <w:szCs w:val="28"/>
          <w:lang w:eastAsia="ru-RU"/>
        </w:rPr>
        <w:t>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375</w:t>
      </w:r>
      <w:r w:rsidRPr="004440C3">
        <w:rPr>
          <w:rFonts w:ascii="Times New Roman" w:eastAsiaTheme="minorHAnsi" w:hAnsi="Times New Roman"/>
          <w:sz w:val="28"/>
          <w:szCs w:val="28"/>
          <w:lang w:eastAsia="ru-RU"/>
        </w:rPr>
        <w:t xml:space="preserve"> единиц к 2020 году;</w:t>
      </w:r>
    </w:p>
    <w:p w:rsidR="001D46D7" w:rsidRPr="004440C3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0C3">
        <w:rPr>
          <w:rFonts w:ascii="Times New Roman" w:hAnsi="Times New Roman"/>
          <w:sz w:val="28"/>
          <w:szCs w:val="28"/>
          <w:lang w:eastAsia="ru-RU"/>
        </w:rPr>
        <w:t xml:space="preserve">- проведение </w:t>
      </w:r>
      <w:proofErr w:type="gramStart"/>
      <w:r w:rsidRPr="004440C3">
        <w:rPr>
          <w:rFonts w:ascii="Times New Roman" w:hAnsi="Times New Roman"/>
          <w:sz w:val="28"/>
          <w:szCs w:val="28"/>
          <w:lang w:eastAsia="ru-RU"/>
        </w:rPr>
        <w:t>инвентаризации объектов недвижимого имущества муниципального уровня собственности</w:t>
      </w:r>
      <w:proofErr w:type="gramEnd"/>
      <w:r w:rsidRPr="004440C3">
        <w:rPr>
          <w:rFonts w:ascii="Times New Roman" w:hAnsi="Times New Roman"/>
          <w:sz w:val="28"/>
          <w:szCs w:val="28"/>
          <w:lang w:eastAsia="ru-RU"/>
        </w:rPr>
        <w:t xml:space="preserve"> и проверок на предмет их целевого использования в количестве 4 </w:t>
      </w:r>
      <w:r>
        <w:rPr>
          <w:rFonts w:ascii="Times New Roman" w:hAnsi="Times New Roman"/>
          <w:sz w:val="28"/>
          <w:szCs w:val="28"/>
          <w:lang w:eastAsia="ru-RU"/>
        </w:rPr>
        <w:t>668</w:t>
      </w:r>
      <w:r w:rsidRPr="004440C3">
        <w:rPr>
          <w:rFonts w:ascii="Times New Roman" w:hAnsi="Times New Roman"/>
          <w:sz w:val="28"/>
          <w:szCs w:val="28"/>
          <w:lang w:eastAsia="ru-RU"/>
        </w:rPr>
        <w:t xml:space="preserve"> единиц к 2020 году;</w:t>
      </w:r>
    </w:p>
    <w:p w:rsidR="001D46D7" w:rsidRPr="00C71D84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D19">
        <w:rPr>
          <w:rFonts w:ascii="Times New Roman" w:hAnsi="Times New Roman"/>
          <w:sz w:val="28"/>
          <w:szCs w:val="28"/>
        </w:rPr>
        <w:t>- увеличение доли площади земельных участков, являющихся объектами налогообложения земельным налогом, в общей площади территории городского округа до 70% к 2020 году.</w:t>
      </w:r>
    </w:p>
    <w:p w:rsidR="001D46D7" w:rsidRPr="002F7527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Срок реализации муниципальной программы рассчитан на период с 2014 по 2020 год, один этап.</w:t>
      </w:r>
    </w:p>
    <w:p w:rsidR="001D46D7" w:rsidRPr="00E8684C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3. ОБОБЩЕННАЯ ХАРАКТЕРИСТИКА ПОДПРОГРАММ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1D46D7" w:rsidRPr="00E8684C" w:rsidRDefault="001D46D7" w:rsidP="001D46D7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Default="001D46D7" w:rsidP="001D46D7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Pr="009160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776BAF" w:rsidP="001D46D7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городского округа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направлено на реализацию полномочий управления имущественных и земельных отношений администрации городского округа город Воронеж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 Российской Федерации.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 управление строительной политики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1D46D7" w:rsidRPr="00CF2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имущественных и земельных отношений администрации городского округа город Воронеж 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реализации муниципального имущества физическим лицам.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 xml:space="preserve">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1D46D7" w:rsidRPr="001D46D7" w:rsidRDefault="001D46D7" w:rsidP="006E2BE9">
      <w:pPr>
        <w:spacing w:after="0" w:line="384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Исполнителями мероприятия являются управление имущественных и земельных отношений администрации городского округа город Воронеж, управление главного архитектора городского округа администрации городского округа город Воронеж и управление развития предпринимательства, потребительского рынка и инновационной политики администрации </w:t>
      </w:r>
      <w:r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Pr="00E940ED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собственности;</w:t>
      </w:r>
    </w:p>
    <w:p w:rsidR="005E0624" w:rsidRDefault="005E0624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Pr="007A642B" w:rsidRDefault="005E0624" w:rsidP="005E0624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 сноса,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5E0624" w:rsidRPr="00E940ED" w:rsidRDefault="005E0624" w:rsidP="005E062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  <w:r w:rsidRPr="005E0624">
        <w:rPr>
          <w:rFonts w:ascii="Times New Roman" w:hAnsi="Times New Roman"/>
          <w:sz w:val="28"/>
          <w:szCs w:val="28"/>
        </w:rPr>
        <w:t xml:space="preserve"> 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5E0624" w:rsidRDefault="005E0624" w:rsidP="005E06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недвижимого имущества, предоставляемого взамен и</w:t>
      </w:r>
      <w:r w:rsidR="001E7950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имущества.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 xml:space="preserve">главного архитектора городского округа администрации городского округа город Воронеж в рамках мероприятия выступает заказчиком следующих видов услуг сторонних организаций: 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5824">
        <w:rPr>
          <w:rFonts w:ascii="Times New Roman" w:hAnsi="Times New Roman"/>
          <w:sz w:val="28"/>
          <w:szCs w:val="28"/>
        </w:rPr>
        <w:t xml:space="preserve"> 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>МКП «Управление главного архитектора» выступает как участник мероприятия 1.</w:t>
      </w:r>
      <w:r>
        <w:rPr>
          <w:rFonts w:ascii="Times New Roman" w:hAnsi="Times New Roman"/>
          <w:sz w:val="28"/>
          <w:szCs w:val="28"/>
        </w:rPr>
        <w:t xml:space="preserve">2 </w:t>
      </w:r>
      <w:r w:rsidRPr="00F9115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и</w:t>
      </w:r>
      <w:r w:rsidRPr="00F9115C">
        <w:rPr>
          <w:rFonts w:ascii="Times New Roman" w:hAnsi="Times New Roman"/>
          <w:sz w:val="28"/>
          <w:szCs w:val="28"/>
        </w:rPr>
        <w:t>сполнител</w:t>
      </w:r>
      <w:r>
        <w:rPr>
          <w:rFonts w:ascii="Times New Roman" w:hAnsi="Times New Roman"/>
          <w:sz w:val="28"/>
          <w:szCs w:val="28"/>
        </w:rPr>
        <w:t>ь</w:t>
      </w:r>
      <w:r w:rsidRPr="00F91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вышеуказанных </w:t>
      </w:r>
      <w:r w:rsidRPr="00F9115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.</w:t>
      </w:r>
      <w:r w:rsidRPr="00F9115C"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382AA5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1D46D7">
      <w:pPr>
        <w:tabs>
          <w:tab w:val="left" w:pos="5103"/>
        </w:tabs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6A2A85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6A2A85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A85">
        <w:t xml:space="preserve"> </w:t>
      </w:r>
      <w:r w:rsidRPr="006A2A85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6A2A85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6A2A85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6A2A85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1.8. Осуществление выплат собственникам изымаемых объектов недвижимости для муниципальных нужд.</w:t>
      </w:r>
    </w:p>
    <w:p w:rsidR="001D46D7" w:rsidRPr="00773459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В случае изъятия земельного участка и находящихся на нем объектов недвижимости (нежилого фонда) для муниципальных ну</w:t>
      </w:r>
      <w:proofErr w:type="gramStart"/>
      <w:r w:rsidRPr="00773459">
        <w:rPr>
          <w:rFonts w:ascii="Times New Roman" w:hAnsi="Times New Roman"/>
          <w:sz w:val="28"/>
          <w:szCs w:val="28"/>
        </w:rPr>
        <w:t xml:space="preserve">жд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в св</w:t>
      </w:r>
      <w:proofErr w:type="gramEnd"/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язи с признанием расположенного на таком земельном участке многоквартирного дома аварийным и подлежащим сносу или реконструкции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ю</w:t>
      </w:r>
      <w:r w:rsidRPr="00773459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выплаты</w:t>
      </w:r>
      <w:r w:rsidRPr="00773459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1D46D7" w:rsidRPr="000532CF" w:rsidRDefault="002C5A22" w:rsidP="00274E45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="00FF11C0"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="00FF11C0"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</w:t>
      </w:r>
      <w:r w:rsidR="00DA4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(демонтажу</w:t>
      </w:r>
      <w:r w:rsidR="00274E45">
        <w:rPr>
          <w:rFonts w:ascii="Times New Roman" w:hAnsi="Times New Roman"/>
          <w:sz w:val="28"/>
          <w:szCs w:val="28"/>
        </w:rPr>
        <w:t>)</w:t>
      </w:r>
      <w:r w:rsidR="00274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D46D7">
        <w:rPr>
          <w:rFonts w:ascii="Times New Roman" w:eastAsia="Calibri" w:hAnsi="Times New Roman" w:cs="Times New Roman"/>
          <w:sz w:val="28"/>
          <w:szCs w:val="28"/>
          <w:lang w:eastAsia="en-US"/>
        </w:rPr>
        <w:t>недвижимых</w:t>
      </w:r>
      <w:r w:rsidR="001D46D7"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D46D7"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</w:t>
      </w:r>
      <w:r w:rsidR="00C537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имущественной казны:</w:t>
      </w:r>
      <w:r w:rsidR="006D2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нежилых зданий, </w:t>
      </w:r>
      <w:r w:rsidR="001D46D7"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 w:rsidR="001D4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D2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прочих </w:t>
      </w:r>
      <w:r w:rsidR="006D2CA3"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 w:rsidR="006D2C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D46D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требованиями действующего законодательства.</w:t>
      </w:r>
    </w:p>
    <w:p w:rsidR="001D46D7" w:rsidRPr="00E940ED" w:rsidRDefault="001D46D7" w:rsidP="006E2BE9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1D46D7" w:rsidRPr="00B12003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-исковой работы </w:t>
      </w:r>
      <w:proofErr w:type="gramStart"/>
      <w:r w:rsidRPr="00E940ED">
        <w:rPr>
          <w:rFonts w:ascii="Times New Roman" w:hAnsi="Times New Roman"/>
          <w:sz w:val="28"/>
          <w:szCs w:val="28"/>
        </w:rPr>
        <w:t>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имуществом, земельными участками, находящимися в собственности муниципального образования, а также земельными участками, государственная собственность на которые не разграничена, расположенными в границах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F77080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5.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муниципальной программы за счет средств городского округа город Воронеж 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4E5B">
        <w:rPr>
          <w:rFonts w:ascii="Times New Roman" w:eastAsia="Times New Roman" w:hAnsi="Times New Roman" w:cs="Calibri"/>
          <w:sz w:val="28"/>
          <w:szCs w:val="28"/>
          <w:lang w:eastAsia="ru-RU"/>
        </w:rPr>
        <w:t>941268,8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7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6. ПОДПРОГРАММА МУНИЦИПАЛЬНОЙ ПРОГРАММЫ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3D3712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3D3712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776BAF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4" w:name="Par272"/>
      <w:bookmarkEnd w:id="4"/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374962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Х</w:t>
      </w: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арактеристика сферы реализации подпрограммы, описание основных проблем в указанной сфере и прогноз ее развития</w:t>
      </w:r>
    </w:p>
    <w:p w:rsidR="001D46D7" w:rsidRPr="00F77080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Развитие рекламно-информационного пространства городского округа город Воронеж предусматривает интеграцию информационных ресурсов и информационной инфраструктуры, позволяющую на основе единых принципов обеспечивать информационное взаимодействие органов местного самоуправления, организаций и граждан при реализации права на доступ к информации в открытых информационных ресурсах.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Информированность населения о различных проблемах жизни города, социальных, экономических, политических, бытовых и других, а также о планах и конкретных действиях городской власти по их разрешению во многом является непременным условием эффективности работы городских властей. При этом особое место в информировании воронежцев о деятельности органов местного самоуправления и реализации на территории столицы Черноземья социальных программ занимает наружная реклама.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информирование населения о реализации на территории городского округа город Воронеж социально значимых проектов, о проведении государственных праздников и праздников местного значения осуществляется путем размещения наружной рекламы</w:t>
      </w:r>
      <w:r w:rsidR="00952C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объектах муниципальной собственности, так и на рекламных конструкциях, находящихся в собственности коммерческих организаций (преимущественно). В среднем ежегодно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социальных программ и программ праздничного оформления города задействуется порядка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500 единиц таких рекламных конструкций. Сформировался типовой ряд используемых рекламных конструкций: щитовые установки различных форматов, электронные табло (видеоэкраны),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лайтпостеры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другие.</w:t>
      </w:r>
    </w:p>
    <w:p w:rsidR="00F6441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US"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Перспективным направлением формирования рекламно-</w:t>
      </w:r>
    </w:p>
    <w:p w:rsidR="00F6441D" w:rsidRDefault="00F6441D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US" w:eastAsia="ru-RU"/>
        </w:rPr>
      </w:pP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информационного пространства Воронежа является применение в устанавливаемых объектах наружной рекламы и информации новых технических и технологических решений, в том числе в сфере электронизации и максимального использования энергосберегающих технологий. Необходимо создание новых каналов коммуникации путем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формирования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сети объектов наружной рекламы и информации, находящихся в муниципальной собственности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Для приведения рекламно-информационного пространства на территории городского округа город Воронеж в соответствие требованиям законодательства в сфере рекламы большое значение имеет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подготовка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оперативной информации о состоянии рынка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данный момент являются: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сети рекламных конструкций для размещения социальной рекламы;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единой информационной базы по рекламным и информационным конструкциям на территории городского округа.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Выполнение мероприятий подпрограммы 1 позволит разработать единую концепцию размещения социальной рекламы и оформления города к праздникам, увеличить количество современных элементов праздничного и тематического оформления города, создать новые элементы оформления и обеспечить их внедрение с учетом особенностей городской среды, а также обеспечить соответствие размещенных рекламных конструкций требованиям действующего законодательства.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F8468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3 2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 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3. </w:t>
      </w: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Воронеж, управление главного архитектора городского округа администрации 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776BAF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5.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43 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3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13639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36396" w:rsidRPr="00136396" w:rsidRDefault="00136396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ь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     Н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Б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Махортова</w:t>
      </w:r>
    </w:p>
    <w:sectPr w:rsidR="00F414B6" w:rsidSect="00C537A2">
      <w:headerReference w:type="default" r:id="rId15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3C" w:rsidRDefault="007E4B3C" w:rsidP="00F03D5B">
      <w:pPr>
        <w:spacing w:after="0" w:line="240" w:lineRule="auto"/>
      </w:pPr>
      <w:r>
        <w:separator/>
      </w:r>
    </w:p>
  </w:endnote>
  <w:endnote w:type="continuationSeparator" w:id="0">
    <w:p w:rsidR="007E4B3C" w:rsidRDefault="007E4B3C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3C" w:rsidRDefault="007E4B3C" w:rsidP="00F03D5B">
      <w:pPr>
        <w:spacing w:after="0" w:line="240" w:lineRule="auto"/>
      </w:pPr>
      <w:r>
        <w:separator/>
      </w:r>
    </w:p>
  </w:footnote>
  <w:footnote w:type="continuationSeparator" w:id="0">
    <w:p w:rsidR="007E4B3C" w:rsidRDefault="007E4B3C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390584"/>
      <w:docPartObj>
        <w:docPartGallery w:val="Page Numbers (Top of Page)"/>
        <w:docPartUnique/>
      </w:docPartObj>
    </w:sdtPr>
    <w:sdtEndPr/>
    <w:sdtContent>
      <w:p w:rsidR="00F03D5B" w:rsidRDefault="00F03D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BAF">
          <w:rPr>
            <w:noProof/>
          </w:rPr>
          <w:t>30</w:t>
        </w:r>
        <w:r>
          <w:fldChar w:fldCharType="end"/>
        </w:r>
      </w:p>
    </w:sdtContent>
  </w:sdt>
  <w:p w:rsidR="00F03D5B" w:rsidRDefault="00F03D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505C"/>
    <w:rsid w:val="000348CC"/>
    <w:rsid w:val="00047D7E"/>
    <w:rsid w:val="0008343C"/>
    <w:rsid w:val="000C181A"/>
    <w:rsid w:val="001018ED"/>
    <w:rsid w:val="00103385"/>
    <w:rsid w:val="00136396"/>
    <w:rsid w:val="00153634"/>
    <w:rsid w:val="001733E1"/>
    <w:rsid w:val="001B662F"/>
    <w:rsid w:val="001D46D7"/>
    <w:rsid w:val="001E562E"/>
    <w:rsid w:val="001E7950"/>
    <w:rsid w:val="00252D17"/>
    <w:rsid w:val="00274E45"/>
    <w:rsid w:val="002C5A22"/>
    <w:rsid w:val="003370E2"/>
    <w:rsid w:val="003B7B46"/>
    <w:rsid w:val="00494393"/>
    <w:rsid w:val="005A0AF6"/>
    <w:rsid w:val="005C41AE"/>
    <w:rsid w:val="005E0624"/>
    <w:rsid w:val="005E3523"/>
    <w:rsid w:val="006A2A85"/>
    <w:rsid w:val="006D2CA3"/>
    <w:rsid w:val="006E2BE9"/>
    <w:rsid w:val="007578EC"/>
    <w:rsid w:val="00776BAF"/>
    <w:rsid w:val="007A642B"/>
    <w:rsid w:val="007E4B3C"/>
    <w:rsid w:val="00871C2D"/>
    <w:rsid w:val="008B5395"/>
    <w:rsid w:val="00952C62"/>
    <w:rsid w:val="009E1588"/>
    <w:rsid w:val="009F3C5E"/>
    <w:rsid w:val="00B40243"/>
    <w:rsid w:val="00B55088"/>
    <w:rsid w:val="00BA7A83"/>
    <w:rsid w:val="00BF55D7"/>
    <w:rsid w:val="00C037CB"/>
    <w:rsid w:val="00C537A2"/>
    <w:rsid w:val="00C53B8B"/>
    <w:rsid w:val="00C621BF"/>
    <w:rsid w:val="00D66BC1"/>
    <w:rsid w:val="00D94821"/>
    <w:rsid w:val="00DA481C"/>
    <w:rsid w:val="00E0695B"/>
    <w:rsid w:val="00E07444"/>
    <w:rsid w:val="00E422BA"/>
    <w:rsid w:val="00E9451D"/>
    <w:rsid w:val="00F03D5B"/>
    <w:rsid w:val="00F04E5B"/>
    <w:rsid w:val="00F35070"/>
    <w:rsid w:val="00F414B6"/>
    <w:rsid w:val="00F6441D"/>
    <w:rsid w:val="00FA19CB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C34DF34E154C092BB5E0876325EDC7A404BE430867036D4917D6DCFFR4B3N" TargetMode="Externa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6969</Words>
  <Characters>39726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enshulgina</cp:lastModifiedBy>
  <cp:revision>2</cp:revision>
  <cp:lastPrinted>2018-08-09T08:37:00Z</cp:lastPrinted>
  <dcterms:created xsi:type="dcterms:W3CDTF">2018-08-14T13:03:00Z</dcterms:created>
  <dcterms:modified xsi:type="dcterms:W3CDTF">2018-08-14T13:03:00Z</dcterms:modified>
</cp:coreProperties>
</file>