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992"/>
        <w:gridCol w:w="851"/>
        <w:gridCol w:w="1019"/>
        <w:gridCol w:w="1757"/>
        <w:gridCol w:w="909"/>
        <w:gridCol w:w="1568"/>
      </w:tblGrid>
      <w:tr w:rsidR="006309E9" w:rsidRPr="00D013C7" w:rsidTr="003B0B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«3.9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013C7">
              <w:rPr>
                <w:rFonts w:ascii="Bookman Old Style" w:hAnsi="Bookman Old Style"/>
                <w:sz w:val="20"/>
                <w:szCs w:val="20"/>
              </w:rPr>
              <w:t>ул. Циолковского, 127/1</w:t>
            </w:r>
          </w:p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ind w:firstLine="71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proofErr w:type="spellStart"/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Универ</w:t>
            </w:r>
            <w:proofErr w:type="spellEnd"/>
          </w:p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сальная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1630,0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Всего– 39</w:t>
            </w:r>
          </w:p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Закрытых– 21</w:t>
            </w:r>
          </w:p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Открытых– 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Регулярная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Территория ярмарки состоит из двух земельных участков площадью</w:t>
            </w:r>
          </w:p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1515,0 кв. м, </w:t>
            </w:r>
          </w:p>
          <w:p w:rsidR="006309E9" w:rsidRPr="00D013C7" w:rsidRDefault="006309E9" w:rsidP="003B0B3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D013C7">
              <w:rPr>
                <w:rFonts w:ascii="Bookman Old Style" w:hAnsi="Bookman Old Style"/>
                <w:sz w:val="20"/>
                <w:szCs w:val="20"/>
                <w:lang w:eastAsia="ar-SA"/>
              </w:rPr>
              <w:t>115,0 кв. м».</w:t>
            </w:r>
          </w:p>
        </w:tc>
      </w:tr>
    </w:tbl>
    <w:p w:rsidR="008E4720" w:rsidRDefault="008E4720">
      <w:bookmarkStart w:id="0" w:name="_GoBack"/>
      <w:bookmarkEnd w:id="0"/>
    </w:p>
    <w:sectPr w:rsidR="008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E9"/>
    <w:rsid w:val="006309E9"/>
    <w:rsid w:val="008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2019-07-19T11:49:00Z</dcterms:created>
  <dcterms:modified xsi:type="dcterms:W3CDTF">2019-07-19T11:49:00Z</dcterms:modified>
</cp:coreProperties>
</file>