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Ind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8"/>
      </w:tblGrid>
      <w:tr w:rsidR="009C02A4" w:rsidTr="0035069A">
        <w:tc>
          <w:tcPr>
            <w:tcW w:w="4468" w:type="dxa"/>
          </w:tcPr>
          <w:p w:rsidR="009C02A4" w:rsidRDefault="009C02A4" w:rsidP="0035069A">
            <w:pPr>
              <w:pStyle w:val="a3"/>
              <w:tabs>
                <w:tab w:val="left" w:pos="5103"/>
              </w:tabs>
              <w:jc w:val="center"/>
              <w:rPr>
                <w:szCs w:val="28"/>
              </w:rPr>
            </w:pPr>
            <w:r w:rsidRPr="00EA56EE">
              <w:rPr>
                <w:szCs w:val="28"/>
              </w:rPr>
              <w:t>УТВЕРЖДЕН</w:t>
            </w:r>
          </w:p>
          <w:p w:rsidR="009C02A4" w:rsidRDefault="009C02A4" w:rsidP="0035069A">
            <w:pPr>
              <w:pStyle w:val="a3"/>
              <w:tabs>
                <w:tab w:val="left" w:pos="5103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постановлением</w:t>
            </w:r>
            <w:r w:rsidRPr="00EA56EE">
              <w:rPr>
                <w:szCs w:val="28"/>
              </w:rPr>
              <w:t xml:space="preserve"> администрации</w:t>
            </w:r>
            <w:r>
              <w:rPr>
                <w:szCs w:val="28"/>
              </w:rPr>
              <w:t xml:space="preserve"> </w:t>
            </w:r>
            <w:r w:rsidRPr="00EA56EE">
              <w:rPr>
                <w:szCs w:val="28"/>
              </w:rPr>
              <w:t>городского округа город Воронеж</w:t>
            </w:r>
          </w:p>
          <w:p w:rsidR="009C02A4" w:rsidRDefault="005319F4" w:rsidP="0035069A">
            <w:pPr>
              <w:pStyle w:val="a3"/>
              <w:tabs>
                <w:tab w:val="left" w:pos="5103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от 03.07.2019 № 562</w:t>
            </w:r>
            <w:bookmarkStart w:id="0" w:name="_GoBack"/>
            <w:bookmarkEnd w:id="0"/>
          </w:p>
        </w:tc>
      </w:tr>
    </w:tbl>
    <w:p w:rsidR="009C02A4" w:rsidRDefault="009C02A4" w:rsidP="009C02A4">
      <w:pPr>
        <w:jc w:val="center"/>
        <w:rPr>
          <w:szCs w:val="28"/>
        </w:rPr>
      </w:pPr>
    </w:p>
    <w:p w:rsidR="009C02A4" w:rsidRDefault="009C02A4" w:rsidP="009C02A4">
      <w:pPr>
        <w:jc w:val="center"/>
        <w:rPr>
          <w:szCs w:val="28"/>
        </w:rPr>
      </w:pPr>
    </w:p>
    <w:p w:rsidR="009C02A4" w:rsidRDefault="009C02A4" w:rsidP="009C02A4">
      <w:pPr>
        <w:jc w:val="center"/>
        <w:rPr>
          <w:szCs w:val="28"/>
        </w:rPr>
      </w:pPr>
    </w:p>
    <w:p w:rsidR="009C02A4" w:rsidRPr="008A2920" w:rsidRDefault="009C02A4" w:rsidP="009C02A4">
      <w:pPr>
        <w:jc w:val="center"/>
        <w:rPr>
          <w:b/>
          <w:sz w:val="28"/>
          <w:szCs w:val="28"/>
        </w:rPr>
      </w:pPr>
      <w:r w:rsidRPr="008A2920">
        <w:rPr>
          <w:b/>
          <w:sz w:val="28"/>
          <w:szCs w:val="28"/>
        </w:rPr>
        <w:t xml:space="preserve">ПОРЯДОК </w:t>
      </w:r>
    </w:p>
    <w:p w:rsidR="009C02A4" w:rsidRDefault="009C02A4" w:rsidP="009C02A4">
      <w:pPr>
        <w:jc w:val="center"/>
        <w:rPr>
          <w:b/>
          <w:sz w:val="28"/>
          <w:szCs w:val="28"/>
        </w:rPr>
      </w:pPr>
      <w:r w:rsidRPr="008A2920">
        <w:rPr>
          <w:b/>
          <w:sz w:val="28"/>
          <w:szCs w:val="28"/>
        </w:rPr>
        <w:t xml:space="preserve">ПРОВЕДЕНИЯ МОНИТОРИНГА </w:t>
      </w:r>
    </w:p>
    <w:p w:rsidR="009C02A4" w:rsidRDefault="009C02A4" w:rsidP="009C02A4">
      <w:pPr>
        <w:jc w:val="center"/>
        <w:rPr>
          <w:b/>
          <w:sz w:val="28"/>
          <w:szCs w:val="28"/>
        </w:rPr>
      </w:pPr>
      <w:r w:rsidRPr="008A2920">
        <w:rPr>
          <w:b/>
          <w:sz w:val="28"/>
          <w:szCs w:val="28"/>
        </w:rPr>
        <w:t xml:space="preserve">ЗАКУПОК ТОВАРОВ, РАБОТ, УСЛУГ </w:t>
      </w:r>
    </w:p>
    <w:p w:rsidR="009C02A4" w:rsidRDefault="009C02A4" w:rsidP="009C02A4">
      <w:pPr>
        <w:jc w:val="center"/>
        <w:rPr>
          <w:b/>
          <w:sz w:val="28"/>
          <w:szCs w:val="28"/>
        </w:rPr>
      </w:pPr>
      <w:r w:rsidRPr="008A2920">
        <w:rPr>
          <w:b/>
          <w:sz w:val="28"/>
          <w:szCs w:val="28"/>
        </w:rPr>
        <w:t xml:space="preserve">ДЛЯ ОБЕСПЕЧЕНИЯ МУНИЦИПАЛЬНЫХ НУЖД </w:t>
      </w:r>
    </w:p>
    <w:p w:rsidR="009C02A4" w:rsidRDefault="009C02A4" w:rsidP="009C02A4">
      <w:pPr>
        <w:jc w:val="center"/>
        <w:rPr>
          <w:b/>
          <w:sz w:val="28"/>
          <w:szCs w:val="28"/>
        </w:rPr>
      </w:pPr>
      <w:r w:rsidRPr="008A2920">
        <w:rPr>
          <w:b/>
          <w:sz w:val="28"/>
          <w:szCs w:val="28"/>
        </w:rPr>
        <w:t>ГОРОДСКОГО ОКРУГА ГОРОД ВОРОНЕЖ</w:t>
      </w:r>
    </w:p>
    <w:p w:rsidR="009C02A4" w:rsidRDefault="009C02A4" w:rsidP="009C02A4">
      <w:pPr>
        <w:jc w:val="center"/>
        <w:rPr>
          <w:b/>
          <w:sz w:val="28"/>
          <w:szCs w:val="28"/>
        </w:rPr>
      </w:pPr>
    </w:p>
    <w:p w:rsidR="009C02A4" w:rsidRDefault="009C02A4" w:rsidP="009C02A4">
      <w:pPr>
        <w:jc w:val="center"/>
        <w:rPr>
          <w:b/>
          <w:sz w:val="28"/>
          <w:szCs w:val="28"/>
        </w:rPr>
      </w:pPr>
    </w:p>
    <w:p w:rsidR="009C02A4" w:rsidRPr="002E1898" w:rsidRDefault="009C02A4" w:rsidP="009C02A4">
      <w:pPr>
        <w:pStyle w:val="a5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2E1898">
        <w:rPr>
          <w:rFonts w:eastAsiaTheme="minorHAnsi"/>
          <w:sz w:val="28"/>
          <w:szCs w:val="28"/>
          <w:lang w:eastAsia="en-US"/>
        </w:rPr>
        <w:t xml:space="preserve">Настоящий Порядок проведения мониторинга закупок товаров, работ, услуг для обеспечения муниципальных нужд </w:t>
      </w:r>
      <w:r>
        <w:rPr>
          <w:rFonts w:eastAsiaTheme="minorHAnsi"/>
          <w:sz w:val="28"/>
          <w:szCs w:val="28"/>
          <w:lang w:eastAsia="en-US"/>
        </w:rPr>
        <w:t xml:space="preserve">городского округа город Воронеж </w:t>
      </w:r>
      <w:r w:rsidRPr="002E1898">
        <w:rPr>
          <w:rFonts w:eastAsiaTheme="minorHAnsi"/>
          <w:sz w:val="28"/>
          <w:szCs w:val="28"/>
          <w:lang w:eastAsia="en-US"/>
        </w:rPr>
        <w:t xml:space="preserve">устанавливает правила осуществления мониторинга закупок товаров, работ, услуг для обеспечения муниципальных нужд городского округа город Воронеж (далее </w:t>
      </w:r>
      <w:r>
        <w:rPr>
          <w:rFonts w:eastAsiaTheme="minorHAnsi"/>
          <w:sz w:val="28"/>
          <w:szCs w:val="28"/>
          <w:lang w:eastAsia="en-US"/>
        </w:rPr>
        <w:t>–</w:t>
      </w:r>
      <w:r w:rsidRPr="002E1898">
        <w:rPr>
          <w:rFonts w:eastAsiaTheme="minorHAnsi"/>
          <w:sz w:val="28"/>
          <w:szCs w:val="28"/>
          <w:lang w:eastAsia="en-US"/>
        </w:rPr>
        <w:t xml:space="preserve"> мониторинг закупок) в соответствии с Федеральным </w:t>
      </w:r>
      <w:hyperlink r:id="rId8" w:history="1">
        <w:r w:rsidRPr="002E1898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2E1898">
        <w:rPr>
          <w:rFonts w:eastAsiaTheme="minorHAnsi"/>
          <w:sz w:val="28"/>
          <w:szCs w:val="28"/>
          <w:lang w:eastAsia="en-US"/>
        </w:rPr>
        <w:t xml:space="preserve"> от 05.04.2013 № 44-ФЗ «О контрактной системе в сфере закупок товаров, работ, услуг для обеспечения госуда</w:t>
      </w:r>
      <w:r>
        <w:rPr>
          <w:rFonts w:eastAsiaTheme="minorHAnsi"/>
          <w:sz w:val="28"/>
          <w:szCs w:val="28"/>
          <w:lang w:eastAsia="en-US"/>
        </w:rPr>
        <w:t>рственных и муниципальных нужд».</w:t>
      </w:r>
      <w:proofErr w:type="gramEnd"/>
    </w:p>
    <w:p w:rsidR="009C02A4" w:rsidRPr="002E1898" w:rsidRDefault="009C02A4" w:rsidP="009C02A4">
      <w:pPr>
        <w:pStyle w:val="a5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2E1898">
        <w:rPr>
          <w:rFonts w:eastAsiaTheme="minorHAnsi"/>
          <w:sz w:val="28"/>
          <w:szCs w:val="28"/>
          <w:lang w:eastAsia="en-US"/>
        </w:rPr>
        <w:t>Проведение мониторинга закупок осуществляется органом, уполномоченным на определение поставщиков (подрядчиков, исполнителей) для заказчиков городского округа город Воронеж (за исключением полномочий на обоснование закупок, определение условий муниципального контракта, в том числе определение начальной (максимальной) цены контракта, подписание муниципального контракта)</w:t>
      </w:r>
      <w:r>
        <w:rPr>
          <w:rFonts w:eastAsiaTheme="minorHAnsi"/>
          <w:sz w:val="28"/>
          <w:szCs w:val="28"/>
          <w:lang w:eastAsia="en-US"/>
        </w:rPr>
        <w:t>, –</w:t>
      </w:r>
      <w:r w:rsidRPr="002E1898">
        <w:rPr>
          <w:rFonts w:eastAsiaTheme="minorHAnsi"/>
          <w:sz w:val="28"/>
          <w:szCs w:val="28"/>
          <w:lang w:eastAsia="en-US"/>
        </w:rPr>
        <w:t xml:space="preserve"> управлением муниципальных закупок администрации городского округа город Воронеж (далее </w:t>
      </w:r>
      <w:r>
        <w:rPr>
          <w:rFonts w:eastAsiaTheme="minorHAnsi"/>
          <w:sz w:val="28"/>
          <w:szCs w:val="28"/>
          <w:lang w:eastAsia="en-US"/>
        </w:rPr>
        <w:t>–</w:t>
      </w:r>
      <w:r w:rsidRPr="002E1898">
        <w:rPr>
          <w:rFonts w:eastAsiaTheme="minorHAnsi"/>
          <w:sz w:val="28"/>
          <w:szCs w:val="28"/>
          <w:lang w:eastAsia="en-US"/>
        </w:rPr>
        <w:t xml:space="preserve"> Управление) посредством осуществляемых на постоянной основе сбора, обобщения, систематизации и оценки информации, содержащейся:</w:t>
      </w:r>
      <w:proofErr w:type="gramEnd"/>
    </w:p>
    <w:p w:rsidR="009C02A4" w:rsidRDefault="009C02A4" w:rsidP="009C02A4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</w:t>
      </w:r>
      <w:r>
        <w:rPr>
          <w:rFonts w:eastAsiaTheme="minorHAnsi"/>
          <w:sz w:val="28"/>
          <w:szCs w:val="28"/>
          <w:lang w:eastAsia="en-US"/>
        </w:rPr>
        <w:tab/>
        <w:t>в единой информационной системе в сфере закупок (далее – ЕИС), на электронных площадках, функционирование которых осуществляется в соответствии с действующим законодательством, в автоматизированной информационной системе муниципальных закупок для нужд городского округа город Воронеж;</w:t>
      </w:r>
    </w:p>
    <w:p w:rsidR="009C02A4" w:rsidRDefault="009C02A4" w:rsidP="009C02A4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2)</w:t>
      </w:r>
      <w:r>
        <w:rPr>
          <w:rFonts w:eastAsiaTheme="minorHAnsi"/>
          <w:sz w:val="28"/>
          <w:szCs w:val="28"/>
          <w:lang w:eastAsia="en-US"/>
        </w:rPr>
        <w:tab/>
        <w:t>в письмах и обращениях, поступающих в Управление от заказчиков городского округа город Воронеж (далее – заказчики), от государственных органов, органов местного самоуправления, участников контрактной системы в сфере закупок, организаций, в том числе общественных объединений, объединений юридических лиц, граждан, включая результаты общественного контроля за соблюдением требований законодательства Российской Федерации и иных нормативных правовых актов о контрактной системе в сфере закупок для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обеспечения государственных и муниципальных нужд;</w:t>
      </w:r>
    </w:p>
    <w:p w:rsidR="009C02A4" w:rsidRDefault="009C02A4" w:rsidP="009C02A4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</w:t>
      </w:r>
      <w:r>
        <w:rPr>
          <w:rFonts w:eastAsiaTheme="minorHAnsi"/>
          <w:sz w:val="28"/>
          <w:szCs w:val="28"/>
          <w:lang w:eastAsia="en-US"/>
        </w:rPr>
        <w:tab/>
        <w:t>во вступивших в законную силу судебных актах, касающихся вопросов осуществления закупок;</w:t>
      </w:r>
    </w:p>
    <w:p w:rsidR="009C02A4" w:rsidRDefault="009C02A4" w:rsidP="009C02A4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</w:t>
      </w:r>
      <w:r>
        <w:rPr>
          <w:rFonts w:eastAsiaTheme="minorHAnsi"/>
          <w:sz w:val="28"/>
          <w:szCs w:val="28"/>
          <w:lang w:eastAsia="en-US"/>
        </w:rPr>
        <w:tab/>
        <w:t>в иных открытых источниках.</w:t>
      </w:r>
    </w:p>
    <w:p w:rsidR="009C02A4" w:rsidRPr="00A31F2E" w:rsidRDefault="009C02A4" w:rsidP="009C02A4">
      <w:pPr>
        <w:pStyle w:val="a5"/>
        <w:numPr>
          <w:ilvl w:val="0"/>
          <w:numId w:val="1"/>
        </w:numPr>
        <w:tabs>
          <w:tab w:val="left" w:pos="1092"/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A31F2E">
        <w:rPr>
          <w:rFonts w:eastAsiaTheme="minorHAnsi"/>
          <w:sz w:val="28"/>
          <w:szCs w:val="28"/>
          <w:lang w:eastAsia="en-US"/>
        </w:rPr>
        <w:t>Управление в целях проведения мониторинга вправе:</w:t>
      </w:r>
    </w:p>
    <w:p w:rsidR="009C02A4" w:rsidRDefault="009C02A4" w:rsidP="009C02A4">
      <w:pPr>
        <w:tabs>
          <w:tab w:val="left" w:pos="1148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</w:t>
      </w:r>
      <w:r>
        <w:rPr>
          <w:rFonts w:eastAsiaTheme="minorHAnsi"/>
          <w:sz w:val="28"/>
          <w:szCs w:val="28"/>
          <w:lang w:eastAsia="en-US"/>
        </w:rPr>
        <w:tab/>
        <w:t>запрашивать и получать на основании мотивированного запроса в письменной форме документы и информацию, необходимые для обеспечения мониторинга, у заказчиков, операторов электронных площадок, организаций, осуществляющих ведение и обслуживание ЕИС;</w:t>
      </w:r>
    </w:p>
    <w:p w:rsidR="009C02A4" w:rsidRDefault="009C02A4" w:rsidP="009C02A4">
      <w:pPr>
        <w:tabs>
          <w:tab w:val="left" w:pos="1148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</w:t>
      </w:r>
      <w:r>
        <w:rPr>
          <w:rFonts w:eastAsiaTheme="minorHAnsi"/>
          <w:sz w:val="28"/>
          <w:szCs w:val="28"/>
          <w:lang w:eastAsia="en-US"/>
        </w:rPr>
        <w:tab/>
        <w:t>формировать совещательные органы из представителей органов местного самоуправления, экспертных организаций, общественных объединений, объединений юридических лиц;</w:t>
      </w:r>
    </w:p>
    <w:p w:rsidR="009C02A4" w:rsidRDefault="009C02A4" w:rsidP="009C02A4">
      <w:pPr>
        <w:tabs>
          <w:tab w:val="left" w:pos="1148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</w:t>
      </w:r>
      <w:r>
        <w:rPr>
          <w:rFonts w:eastAsiaTheme="minorHAnsi"/>
          <w:sz w:val="28"/>
          <w:szCs w:val="28"/>
          <w:lang w:eastAsia="en-US"/>
        </w:rPr>
        <w:tab/>
        <w:t>осуществлять свод информации по отдельным этапам исполнения муниципальных контрактов и гражданско-правовых договоров (далее – контракты), в том числе по запросу управления по регулированию контрактной системы в сфере закупок Воронежской области;</w:t>
      </w:r>
    </w:p>
    <w:p w:rsidR="009C02A4" w:rsidRDefault="009C02A4" w:rsidP="009C02A4">
      <w:pPr>
        <w:tabs>
          <w:tab w:val="left" w:pos="1148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</w:t>
      </w:r>
      <w:r>
        <w:rPr>
          <w:rFonts w:eastAsiaTheme="minorHAnsi"/>
          <w:sz w:val="28"/>
          <w:szCs w:val="28"/>
          <w:lang w:eastAsia="en-US"/>
        </w:rPr>
        <w:tab/>
        <w:t>формировать базы данных по заказчикам в части представленной информации;</w:t>
      </w:r>
    </w:p>
    <w:p w:rsidR="009C02A4" w:rsidRDefault="009C02A4" w:rsidP="009C02A4">
      <w:pPr>
        <w:tabs>
          <w:tab w:val="left" w:pos="1148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5)</w:t>
      </w:r>
      <w:r>
        <w:rPr>
          <w:rFonts w:eastAsiaTheme="minorHAnsi"/>
          <w:sz w:val="28"/>
          <w:szCs w:val="28"/>
          <w:lang w:eastAsia="en-US"/>
        </w:rPr>
        <w:tab/>
        <w:t>обеспечивать хранение представленной информации;</w:t>
      </w:r>
    </w:p>
    <w:p w:rsidR="009C02A4" w:rsidRDefault="009C02A4" w:rsidP="009C02A4">
      <w:pPr>
        <w:tabs>
          <w:tab w:val="left" w:pos="1148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6)</w:t>
      </w:r>
      <w:r>
        <w:rPr>
          <w:rFonts w:eastAsiaTheme="minorHAnsi"/>
          <w:sz w:val="28"/>
          <w:szCs w:val="28"/>
          <w:lang w:eastAsia="en-US"/>
        </w:rPr>
        <w:tab/>
        <w:t xml:space="preserve">осуществлять мониторинг исполнения контрактов, в том числе по приемке поставленного товара (выполненной работы, оказанной услуги) для муниципальных нужд с составлением </w:t>
      </w:r>
      <w:hyperlink r:id="rId9" w:history="1">
        <w:r w:rsidRPr="00A31F2E">
          <w:rPr>
            <w:rFonts w:eastAsiaTheme="minorHAnsi"/>
            <w:sz w:val="28"/>
            <w:szCs w:val="28"/>
            <w:lang w:eastAsia="en-US"/>
          </w:rPr>
          <w:t>акта</w:t>
        </w:r>
      </w:hyperlink>
      <w:r>
        <w:rPr>
          <w:rFonts w:eastAsiaTheme="minorHAnsi"/>
          <w:sz w:val="28"/>
          <w:szCs w:val="28"/>
          <w:lang w:eastAsia="en-US"/>
        </w:rPr>
        <w:t xml:space="preserve"> мониторинга исполнения контракта согласно приложению к настоящему Порядку, на основании приказа первого заместителя главы администрации по стратегическому планированию, экономике и финансам.</w:t>
      </w:r>
    </w:p>
    <w:p w:rsidR="009C02A4" w:rsidRPr="00A31F2E" w:rsidRDefault="009C02A4" w:rsidP="009C02A4">
      <w:pPr>
        <w:pStyle w:val="a5"/>
        <w:numPr>
          <w:ilvl w:val="0"/>
          <w:numId w:val="1"/>
        </w:numPr>
        <w:tabs>
          <w:tab w:val="left" w:pos="1092"/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A31F2E">
        <w:rPr>
          <w:rFonts w:eastAsiaTheme="minorHAnsi"/>
          <w:sz w:val="28"/>
          <w:szCs w:val="28"/>
          <w:lang w:eastAsia="en-US"/>
        </w:rPr>
        <w:t>При осуществлени</w:t>
      </w:r>
      <w:r>
        <w:rPr>
          <w:rFonts w:eastAsiaTheme="minorHAnsi"/>
          <w:sz w:val="28"/>
          <w:szCs w:val="28"/>
          <w:lang w:eastAsia="en-US"/>
        </w:rPr>
        <w:t>и</w:t>
      </w:r>
      <w:r w:rsidRPr="00A31F2E">
        <w:rPr>
          <w:rFonts w:eastAsiaTheme="minorHAnsi"/>
          <w:sz w:val="28"/>
          <w:szCs w:val="28"/>
          <w:lang w:eastAsia="en-US"/>
        </w:rPr>
        <w:t xml:space="preserve"> мониторинга закупок проводится оценка:</w:t>
      </w:r>
    </w:p>
    <w:p w:rsidR="009C02A4" w:rsidRDefault="009C02A4" w:rsidP="009C02A4">
      <w:pPr>
        <w:tabs>
          <w:tab w:val="left" w:pos="1106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</w:t>
      </w:r>
      <w:r>
        <w:rPr>
          <w:rFonts w:eastAsiaTheme="minorHAnsi"/>
          <w:sz w:val="28"/>
          <w:szCs w:val="28"/>
          <w:lang w:eastAsia="en-US"/>
        </w:rPr>
        <w:tab/>
        <w:t>эффективности планирования закупок;</w:t>
      </w:r>
    </w:p>
    <w:p w:rsidR="009C02A4" w:rsidRDefault="009C02A4" w:rsidP="009C02A4">
      <w:pPr>
        <w:tabs>
          <w:tab w:val="left" w:pos="1106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</w:t>
      </w:r>
      <w:r>
        <w:rPr>
          <w:rFonts w:eastAsiaTheme="minorHAnsi"/>
          <w:sz w:val="28"/>
          <w:szCs w:val="28"/>
          <w:lang w:eastAsia="en-US"/>
        </w:rPr>
        <w:tab/>
        <w:t>эффективности определения поставщиков (подрядчиков, исполнителей);</w:t>
      </w:r>
    </w:p>
    <w:p w:rsidR="009C02A4" w:rsidRDefault="009C02A4" w:rsidP="009C02A4">
      <w:pPr>
        <w:tabs>
          <w:tab w:val="left" w:pos="1106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</w:t>
      </w:r>
      <w:r>
        <w:rPr>
          <w:rFonts w:eastAsiaTheme="minorHAnsi"/>
          <w:sz w:val="28"/>
          <w:szCs w:val="28"/>
          <w:lang w:eastAsia="en-US"/>
        </w:rPr>
        <w:tab/>
        <w:t>эффективности исполнения контрактов;</w:t>
      </w:r>
    </w:p>
    <w:p w:rsidR="009C02A4" w:rsidRDefault="009C02A4" w:rsidP="009C02A4">
      <w:pPr>
        <w:tabs>
          <w:tab w:val="left" w:pos="1106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</w:t>
      </w:r>
      <w:r>
        <w:rPr>
          <w:rFonts w:eastAsiaTheme="minorHAnsi"/>
          <w:sz w:val="28"/>
          <w:szCs w:val="28"/>
          <w:lang w:eastAsia="en-US"/>
        </w:rPr>
        <w:tab/>
        <w:t>исполнения требований законодательства о закупках.</w:t>
      </w:r>
    </w:p>
    <w:p w:rsidR="009C02A4" w:rsidRDefault="009C02A4" w:rsidP="009C02A4">
      <w:pPr>
        <w:tabs>
          <w:tab w:val="left" w:pos="1106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</w:t>
      </w:r>
      <w:r>
        <w:rPr>
          <w:rFonts w:eastAsiaTheme="minorHAnsi"/>
          <w:sz w:val="28"/>
          <w:szCs w:val="28"/>
          <w:lang w:eastAsia="en-US"/>
        </w:rPr>
        <w:tab/>
        <w:t>Результатом мониторинга закупок является формирование Управлением годовой рейтинговой оценки эффективности закупок товаров, работ, услуг для обеспечения муниципальных нужд городского округа город Воронеж.</w:t>
      </w:r>
    </w:p>
    <w:p w:rsidR="009C02A4" w:rsidRDefault="009C02A4" w:rsidP="009C02A4">
      <w:pPr>
        <w:tabs>
          <w:tab w:val="left" w:pos="1106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</w:t>
      </w:r>
      <w:r>
        <w:rPr>
          <w:rFonts w:eastAsiaTheme="minorHAnsi"/>
          <w:sz w:val="28"/>
          <w:szCs w:val="28"/>
          <w:lang w:eastAsia="en-US"/>
        </w:rPr>
        <w:tab/>
        <w:t xml:space="preserve">Порядок формирования </w:t>
      </w:r>
      <w:r w:rsidRPr="00F72D35">
        <w:rPr>
          <w:rFonts w:eastAsiaTheme="minorHAnsi"/>
          <w:sz w:val="28"/>
          <w:szCs w:val="28"/>
          <w:lang w:eastAsia="en-US"/>
        </w:rPr>
        <w:t>годовой рейтинговой оценки эффективности закупок товаров, работ, услуг для обеспечения муниципальных нужд городского округа город Воронеж</w:t>
      </w:r>
      <w:r>
        <w:rPr>
          <w:rFonts w:eastAsiaTheme="minorHAnsi"/>
          <w:sz w:val="28"/>
          <w:szCs w:val="28"/>
          <w:lang w:eastAsia="en-US"/>
        </w:rPr>
        <w:t xml:space="preserve"> утверждается правовым актом руководителя Управления.</w:t>
      </w:r>
    </w:p>
    <w:p w:rsidR="009C02A4" w:rsidRDefault="009C02A4" w:rsidP="009C02A4">
      <w:pPr>
        <w:tabs>
          <w:tab w:val="left" w:pos="1106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7.</w:t>
      </w:r>
      <w:r>
        <w:rPr>
          <w:rFonts w:eastAsiaTheme="minorHAnsi"/>
          <w:sz w:val="28"/>
          <w:szCs w:val="28"/>
          <w:lang w:eastAsia="en-US"/>
        </w:rPr>
        <w:tab/>
        <w:t xml:space="preserve">Годовая </w:t>
      </w:r>
      <w:r w:rsidRPr="00F72D35">
        <w:rPr>
          <w:rFonts w:eastAsiaTheme="minorHAnsi"/>
          <w:sz w:val="28"/>
          <w:szCs w:val="28"/>
          <w:lang w:eastAsia="en-US"/>
        </w:rPr>
        <w:t>рейтингов</w:t>
      </w:r>
      <w:r>
        <w:rPr>
          <w:rFonts w:eastAsiaTheme="minorHAnsi"/>
          <w:sz w:val="28"/>
          <w:szCs w:val="28"/>
          <w:lang w:eastAsia="en-US"/>
        </w:rPr>
        <w:t>ая</w:t>
      </w:r>
      <w:r w:rsidRPr="00F72D35">
        <w:rPr>
          <w:rFonts w:eastAsiaTheme="minorHAnsi"/>
          <w:sz w:val="28"/>
          <w:szCs w:val="28"/>
          <w:lang w:eastAsia="en-US"/>
        </w:rPr>
        <w:t xml:space="preserve"> оценк</w:t>
      </w:r>
      <w:r>
        <w:rPr>
          <w:rFonts w:eastAsiaTheme="minorHAnsi"/>
          <w:sz w:val="28"/>
          <w:szCs w:val="28"/>
          <w:lang w:eastAsia="en-US"/>
        </w:rPr>
        <w:t>а</w:t>
      </w:r>
      <w:r w:rsidRPr="00F72D35">
        <w:rPr>
          <w:rFonts w:eastAsiaTheme="minorHAnsi"/>
          <w:sz w:val="28"/>
          <w:szCs w:val="28"/>
          <w:lang w:eastAsia="en-US"/>
        </w:rPr>
        <w:t xml:space="preserve"> эффективности закупок товаров, работ, услуг для обеспечения муниципальных нужд городского округа город Воронеж</w:t>
      </w:r>
      <w:r>
        <w:rPr>
          <w:rFonts w:eastAsiaTheme="minorHAnsi"/>
          <w:sz w:val="28"/>
          <w:szCs w:val="28"/>
          <w:lang w:eastAsia="en-US"/>
        </w:rPr>
        <w:t xml:space="preserve"> направляется главе городского округа город Воронеж (или первому заместителю главы администрации по стратегическому планированию, экономике и финансам), а также размещается на сайте Управления в информационно-телекоммуникационной сети «Интернет» по адресу: </w:t>
      </w:r>
      <w:r w:rsidRPr="00B64251">
        <w:rPr>
          <w:rFonts w:eastAsiaTheme="minorHAnsi"/>
          <w:sz w:val="28"/>
          <w:szCs w:val="28"/>
          <w:lang w:eastAsia="en-US"/>
        </w:rPr>
        <w:t>http://www.umz-vrn.etc.ru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9C02A4" w:rsidRDefault="009C02A4" w:rsidP="009C02A4">
      <w:pPr>
        <w:tabs>
          <w:tab w:val="left" w:pos="1106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9C02A4" w:rsidRPr="00B64251" w:rsidRDefault="009C02A4" w:rsidP="009C02A4">
      <w:pPr>
        <w:tabs>
          <w:tab w:val="left" w:pos="1106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64251">
        <w:rPr>
          <w:rFonts w:eastAsiaTheme="minorHAnsi"/>
          <w:sz w:val="28"/>
          <w:szCs w:val="28"/>
          <w:lang w:eastAsia="en-US"/>
        </w:rPr>
        <w:t>Руководитель управления</w:t>
      </w:r>
    </w:p>
    <w:p w:rsidR="00CB2FB5" w:rsidRPr="009C02A4" w:rsidRDefault="009C02A4" w:rsidP="009C02A4">
      <w:pPr>
        <w:tabs>
          <w:tab w:val="left" w:pos="1106"/>
        </w:tabs>
        <w:autoSpaceDE w:val="0"/>
        <w:autoSpaceDN w:val="0"/>
        <w:adjustRightInd w:val="0"/>
        <w:jc w:val="both"/>
        <w:rPr>
          <w:b/>
        </w:rPr>
      </w:pPr>
      <w:r w:rsidRPr="00B64251">
        <w:rPr>
          <w:rFonts w:eastAsiaTheme="minorHAnsi"/>
          <w:sz w:val="28"/>
          <w:szCs w:val="28"/>
          <w:lang w:eastAsia="en-US"/>
        </w:rPr>
        <w:t xml:space="preserve">муниципальных закупок                                                              </w:t>
      </w:r>
      <w:r>
        <w:rPr>
          <w:rFonts w:eastAsiaTheme="minorHAnsi"/>
          <w:sz w:val="28"/>
          <w:szCs w:val="28"/>
          <w:lang w:eastAsia="en-US"/>
        </w:rPr>
        <w:tab/>
      </w:r>
      <w:r w:rsidRPr="00B64251">
        <w:rPr>
          <w:rFonts w:eastAsiaTheme="minorHAnsi"/>
          <w:sz w:val="28"/>
          <w:szCs w:val="28"/>
          <w:lang w:eastAsia="en-US"/>
        </w:rPr>
        <w:t xml:space="preserve">А.А. </w:t>
      </w:r>
      <w:proofErr w:type="spellStart"/>
      <w:r w:rsidRPr="00B64251">
        <w:rPr>
          <w:rFonts w:eastAsiaTheme="minorHAnsi"/>
          <w:sz w:val="28"/>
          <w:szCs w:val="28"/>
          <w:lang w:eastAsia="en-US"/>
        </w:rPr>
        <w:t>Зенин</w:t>
      </w:r>
      <w:proofErr w:type="spellEnd"/>
    </w:p>
    <w:sectPr w:rsidR="00CB2FB5" w:rsidRPr="009C02A4" w:rsidSect="009C02A4">
      <w:headerReference w:type="default" r:id="rId10"/>
      <w:pgSz w:w="11906" w:h="16838"/>
      <w:pgMar w:top="1134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319F4">
      <w:r>
        <w:separator/>
      </w:r>
    </w:p>
  </w:endnote>
  <w:endnote w:type="continuationSeparator" w:id="0">
    <w:p w:rsidR="00000000" w:rsidRDefault="00531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319F4">
      <w:r>
        <w:separator/>
      </w:r>
    </w:p>
  </w:footnote>
  <w:footnote w:type="continuationSeparator" w:id="0">
    <w:p w:rsidR="00000000" w:rsidRDefault="005319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3558305"/>
      <w:docPartObj>
        <w:docPartGallery w:val="Page Numbers (Top of Page)"/>
        <w:docPartUnique/>
      </w:docPartObj>
    </w:sdtPr>
    <w:sdtEndPr/>
    <w:sdtContent>
      <w:p w:rsidR="00AD5A41" w:rsidRDefault="009C02A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19F4">
          <w:rPr>
            <w:noProof/>
          </w:rPr>
          <w:t>3</w:t>
        </w:r>
        <w:r>
          <w:fldChar w:fldCharType="end"/>
        </w:r>
      </w:p>
    </w:sdtContent>
  </w:sdt>
  <w:p w:rsidR="00AD5A41" w:rsidRDefault="005319F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A4809"/>
    <w:multiLevelType w:val="hybridMultilevel"/>
    <w:tmpl w:val="5B0C55E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2A4"/>
    <w:rsid w:val="005319F4"/>
    <w:rsid w:val="009C02A4"/>
    <w:rsid w:val="00CB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C02A4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character" w:customStyle="1" w:styleId="a4">
    <w:name w:val="Без интервала Знак"/>
    <w:link w:val="a3"/>
    <w:uiPriority w:val="1"/>
    <w:locked/>
    <w:rsid w:val="009C02A4"/>
    <w:rPr>
      <w:rFonts w:ascii="Times New Roman" w:eastAsia="Calibri" w:hAnsi="Times New Roman" w:cs="Times New Roman"/>
      <w:sz w:val="28"/>
      <w:szCs w:val="26"/>
    </w:rPr>
  </w:style>
  <w:style w:type="paragraph" w:styleId="a5">
    <w:name w:val="List Paragraph"/>
    <w:basedOn w:val="a"/>
    <w:uiPriority w:val="34"/>
    <w:qFormat/>
    <w:rsid w:val="009C02A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C02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C02A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9C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C02A4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character" w:customStyle="1" w:styleId="a4">
    <w:name w:val="Без интервала Знак"/>
    <w:link w:val="a3"/>
    <w:uiPriority w:val="1"/>
    <w:locked/>
    <w:rsid w:val="009C02A4"/>
    <w:rPr>
      <w:rFonts w:ascii="Times New Roman" w:eastAsia="Calibri" w:hAnsi="Times New Roman" w:cs="Times New Roman"/>
      <w:sz w:val="28"/>
      <w:szCs w:val="26"/>
    </w:rPr>
  </w:style>
  <w:style w:type="paragraph" w:styleId="a5">
    <w:name w:val="List Paragraph"/>
    <w:basedOn w:val="a"/>
    <w:uiPriority w:val="34"/>
    <w:qFormat/>
    <w:rsid w:val="009C02A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C02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C02A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9C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2A7BE3542985BA8F46EAE7FF8F97B6DC01DDE9DD6B30A6B1835E315C52A2F87DF4B4A084D6AB6425E68765AE736B75A463E99AA77D3EA50Z7I4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2A7BE3542985BA8F46EB072EE952468C2178592DBB2003A446AB848922325D09804134A0966BE4A58632402A837EB1F142D98A977D1EE4F7F52F5Z6I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Руденко А.О.</dc:creator>
  <cp:lastModifiedBy>Волкова М.Н.</cp:lastModifiedBy>
  <cp:revision>2</cp:revision>
  <dcterms:created xsi:type="dcterms:W3CDTF">2019-07-04T08:56:00Z</dcterms:created>
  <dcterms:modified xsi:type="dcterms:W3CDTF">2019-07-04T08:56:00Z</dcterms:modified>
</cp:coreProperties>
</file>