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2A8" w:rsidRPr="00F2776C" w:rsidRDefault="00CD32A8" w:rsidP="00CD32A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F2776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657248">
        <w:rPr>
          <w:rFonts w:ascii="Times New Roman" w:hAnsi="Times New Roman" w:cs="Times New Roman"/>
          <w:sz w:val="28"/>
          <w:szCs w:val="28"/>
        </w:rPr>
        <w:t>6</w:t>
      </w:r>
    </w:p>
    <w:p w:rsidR="00CD32A8" w:rsidRPr="00F2776C" w:rsidRDefault="00CD32A8" w:rsidP="00CD3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D32A8" w:rsidRPr="00F2776C" w:rsidRDefault="00CD32A8" w:rsidP="00CD3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32A8" w:rsidRPr="00F2776C" w:rsidRDefault="00CD32A8" w:rsidP="00CD32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Форма расписки</w:t>
      </w:r>
    </w:p>
    <w:p w:rsidR="00CD32A8" w:rsidRPr="00F2776C" w:rsidRDefault="00CD32A8" w:rsidP="00CD32A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D32A8" w:rsidRPr="00F2776C" w:rsidRDefault="00CD32A8" w:rsidP="00CD3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004"/>
      <w:bookmarkEnd w:id="1"/>
      <w:r w:rsidRPr="00F2776C">
        <w:rPr>
          <w:rFonts w:ascii="Times New Roman" w:hAnsi="Times New Roman" w:cs="Times New Roman"/>
          <w:sz w:val="28"/>
          <w:szCs w:val="28"/>
        </w:rPr>
        <w:t>РАСПИСКА</w:t>
      </w:r>
    </w:p>
    <w:p w:rsidR="00CD32A8" w:rsidRDefault="00CD32A8" w:rsidP="00CD3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в получении документов, представленных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27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2A8" w:rsidRDefault="00CD32A8" w:rsidP="00CD3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Pr="00275729">
        <w:rPr>
          <w:rFonts w:ascii="Times New Roman" w:hAnsi="Times New Roman" w:cs="Times New Roman"/>
          <w:sz w:val="28"/>
          <w:szCs w:val="28"/>
        </w:rPr>
        <w:t xml:space="preserve">внесении изменений в разрешение </w:t>
      </w:r>
    </w:p>
    <w:p w:rsidR="00CD32A8" w:rsidRPr="00F2776C" w:rsidRDefault="00CD32A8" w:rsidP="00CD32A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5729">
        <w:rPr>
          <w:rFonts w:ascii="Times New Roman" w:hAnsi="Times New Roman" w:cs="Times New Roman"/>
          <w:sz w:val="28"/>
          <w:szCs w:val="28"/>
        </w:rPr>
        <w:t>на строительство</w:t>
      </w:r>
      <w:r w:rsidRPr="00F2776C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</w:t>
      </w:r>
    </w:p>
    <w:p w:rsidR="00CD32A8" w:rsidRPr="00817142" w:rsidRDefault="00CD32A8" w:rsidP="00CD32A8">
      <w:pPr>
        <w:pStyle w:val="ConsPlusNormal"/>
        <w:ind w:firstLine="540"/>
        <w:jc w:val="both"/>
        <w:rPr>
          <w:sz w:val="28"/>
        </w:rPr>
      </w:pPr>
    </w:p>
    <w:p w:rsidR="00CD32A8" w:rsidRPr="00F2776C" w:rsidRDefault="00CD32A8" w:rsidP="00CD32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F2776C">
        <w:rPr>
          <w:rFonts w:ascii="Times New Roman" w:hAnsi="Times New Roman" w:cs="Times New Roman"/>
          <w:sz w:val="28"/>
          <w:szCs w:val="28"/>
        </w:rPr>
        <w:t>Настоящим удостоверяется, что заявитель</w:t>
      </w:r>
    </w:p>
    <w:p w:rsidR="00CD32A8" w:rsidRDefault="00CD32A8" w:rsidP="00CD32A8">
      <w:pPr>
        <w:pStyle w:val="ConsPlusNonformat"/>
        <w:jc w:val="both"/>
      </w:pPr>
      <w:r>
        <w:t>_____________________________________________________________________________</w:t>
      </w:r>
    </w:p>
    <w:p w:rsidR="00CD32A8" w:rsidRPr="00F2776C" w:rsidRDefault="00CD32A8" w:rsidP="00CD32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CD32A8" w:rsidRPr="00F2776C" w:rsidRDefault="00CD32A8" w:rsidP="00CD32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представил, а сотрудник отдела подготовки и выдачи разрешительной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документации в области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CD32A8" w:rsidRDefault="00CD32A8" w:rsidP="00CD32A8">
      <w:pPr>
        <w:pStyle w:val="ConsPlusNonformat"/>
        <w:jc w:val="both"/>
      </w:pPr>
      <w:r>
        <w:t>_____________________________________________________________________________</w:t>
      </w:r>
    </w:p>
    <w:p w:rsidR="00CD32A8" w:rsidRPr="00F2776C" w:rsidRDefault="00CD32A8" w:rsidP="00CD32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CD32A8" w:rsidRPr="00F2776C" w:rsidRDefault="00CD32A8" w:rsidP="00CD32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получил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2776C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2776C">
        <w:rPr>
          <w:rFonts w:ascii="Times New Roman" w:hAnsi="Times New Roman" w:cs="Times New Roman"/>
          <w:sz w:val="28"/>
          <w:szCs w:val="28"/>
        </w:rPr>
        <w:t xml:space="preserve"> ________________ _________ документы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D32A8" w:rsidRPr="00F2776C" w:rsidRDefault="00CD32A8" w:rsidP="00CD32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2776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776C">
        <w:rPr>
          <w:rFonts w:ascii="Times New Roman" w:hAnsi="Times New Roman" w:cs="Times New Roman"/>
          <w:sz w:val="24"/>
          <w:szCs w:val="24"/>
        </w:rPr>
        <w:t>(число)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(месяц прописью)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2776C">
        <w:rPr>
          <w:rFonts w:ascii="Times New Roman" w:hAnsi="Times New Roman" w:cs="Times New Roman"/>
          <w:sz w:val="24"/>
          <w:szCs w:val="24"/>
        </w:rPr>
        <w:t xml:space="preserve">  (год)</w:t>
      </w:r>
    </w:p>
    <w:p w:rsidR="00CD32A8" w:rsidRPr="00F2776C" w:rsidRDefault="00CD32A8" w:rsidP="00CD32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 xml:space="preserve">количестве ____________________________ экземпляров </w:t>
      </w:r>
      <w:proofErr w:type="gramStart"/>
      <w:r w:rsidRPr="00F2776C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CD32A8" w:rsidRPr="00F2776C" w:rsidRDefault="00CD32A8" w:rsidP="00CD32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F2776C">
        <w:rPr>
          <w:rFonts w:ascii="Times New Roman" w:hAnsi="Times New Roman" w:cs="Times New Roman"/>
          <w:sz w:val="24"/>
          <w:szCs w:val="24"/>
        </w:rPr>
        <w:t>(прописью)</w:t>
      </w:r>
    </w:p>
    <w:p w:rsidR="00CD32A8" w:rsidRDefault="00CD32A8" w:rsidP="00CD32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776C">
        <w:rPr>
          <w:rFonts w:ascii="Times New Roman" w:hAnsi="Times New Roman" w:cs="Times New Roman"/>
          <w:sz w:val="28"/>
          <w:szCs w:val="28"/>
        </w:rPr>
        <w:t>прилагаемому  к заявлению перечню документов, необходимых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776C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6D0487">
        <w:rPr>
          <w:rFonts w:ascii="Times New Roman" w:hAnsi="Times New Roman" w:cs="Times New Roman"/>
          <w:sz w:val="28"/>
          <w:szCs w:val="28"/>
        </w:rPr>
        <w:t>о внесении изменений в разрешение на строительство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F3C12">
        <w:rPr>
          <w:rFonts w:ascii="Times New Roman" w:hAnsi="Times New Roman" w:cs="Times New Roman"/>
          <w:sz w:val="28"/>
          <w:szCs w:val="28"/>
        </w:rPr>
        <w:t>кроме внесения изменений в разрешение на строительство исключительно в связи с продлением срока действия разрешения на строительство, переходом прав на земельный участок, образованием земельного участка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2776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CD32A8" w:rsidTr="00CB5C8A">
        <w:tc>
          <w:tcPr>
            <w:tcW w:w="8613" w:type="dxa"/>
          </w:tcPr>
          <w:p w:rsidR="00CD32A8" w:rsidRDefault="00CD32A8" w:rsidP="00CB5C8A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</w:t>
            </w:r>
            <w:r w:rsidRPr="00F4093D">
              <w:rPr>
                <w:sz w:val="28"/>
                <w:szCs w:val="28"/>
              </w:rPr>
              <w:t xml:space="preserve">равоустанавливающие документы на земельный участок, </w:t>
            </w:r>
            <w:r w:rsidRPr="005B1B68">
              <w:rPr>
                <w:sz w:val="28"/>
                <w:szCs w:val="28"/>
              </w:rPr>
              <w:t>в том числе соглашение об установлении сервитута, решение об установлении публичного сервитута,</w:t>
            </w:r>
            <w:r w:rsidRPr="00F4093D">
              <w:rPr>
                <w:sz w:val="28"/>
                <w:szCs w:val="28"/>
              </w:rPr>
              <w:t xml:space="preserve"> если указанные документы (их копии или сведения, содержащиеся в них) отсутствуют в </w:t>
            </w:r>
            <w:r w:rsidRPr="002B7326">
              <w:rPr>
                <w:sz w:val="28"/>
                <w:szCs w:val="28"/>
              </w:rPr>
              <w:t>Едином государственном реестре недвижимости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</w:t>
            </w: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атериалы, содержащиеся в проектной документации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если указанные документы (их копии или сведения, содержащиеся в них) отсутствуют в едином государственном реестре заключений</w:t>
            </w: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776C">
              <w:rPr>
                <w:rFonts w:ascii="Times New Roman" w:hAnsi="Times New Roman" w:cs="Times New Roman"/>
                <w:sz w:val="28"/>
                <w:szCs w:val="28"/>
              </w:rPr>
              <w:t>а) пояснительная записка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D036F5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публичных сервитутов, объектов археологического наследия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D036F5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схема планировочной организации земельного участка, подтверждающая расположение линейного объекта в пределах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красных линий, утвержденных в составе документации по планировке территории применительно к линейным объектам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D036F5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архитектурные решения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D036F5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д)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D036F5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D036F5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ж)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>проект организации работ по сносу объектов капитального строительства, их частей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D036F5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з) 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8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D036F5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9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10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1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</w:t>
            </w:r>
            <w:proofErr w:type="gramEnd"/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в случаях, предусмотренных </w:t>
            </w:r>
            <w:hyperlink r:id="rId12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если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D036F5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огласие всех правообладателей объекта капитального строительства в случае реконструкции такого объекта, за исключением указанных в </w:t>
            </w:r>
            <w:hyperlink w:anchor="P31" w:history="1">
              <w:r w:rsidRPr="00F4093D">
                <w:rPr>
                  <w:rFonts w:ascii="Times New Roman" w:hAnsi="Times New Roman" w:cs="Times New Roman"/>
                  <w:sz w:val="28"/>
                  <w:szCs w:val="28"/>
                </w:rPr>
                <w:t>пункте 6.2</w:t>
              </w:r>
            </w:hyperlink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 части 7 статьи 51 Градостроительного кодекса Российской Федерации случаев реконструкции многоквартирного дома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D036F5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проведении реконструкции, </w:t>
            </w:r>
            <w:proofErr w:type="gram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определяющее</w:t>
            </w:r>
            <w:proofErr w:type="gram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условия и порядок возмещения ущерба, причиненного объекту </w:t>
            </w:r>
            <w:r w:rsidRPr="00D036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осуществлении реконструкции (в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D036F5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 учреждение,  в отношении которого указанный орган осуществляет соответственно  функции и полномочия учредителя или права собственника имущества)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D036F5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ешение общего собрания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-мест в многоквартирном доме, принятое в соответствии с жилищным </w:t>
            </w:r>
            <w:hyperlink r:id="rId13" w:history="1">
              <w:r w:rsidRPr="00BE5F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BE5F68">
              <w:rPr>
                <w:rFonts w:ascii="Times New Roman" w:hAnsi="Times New Roman" w:cs="Times New Roman"/>
                <w:sz w:val="28"/>
                <w:szCs w:val="28"/>
              </w:rPr>
              <w:t xml:space="preserve">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BE5F68">
              <w:rPr>
                <w:rFonts w:ascii="Times New Roman" w:hAnsi="Times New Roman" w:cs="Times New Roman"/>
                <w:sz w:val="28"/>
                <w:szCs w:val="28"/>
              </w:rPr>
              <w:t>-мест в многоквартирном доме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32A8" w:rsidRPr="00F2776C" w:rsidRDefault="00CD32A8" w:rsidP="00CD32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D32A8" w:rsidRDefault="00CD32A8" w:rsidP="00CD32A8">
      <w:pPr>
        <w:pStyle w:val="ConsPlusNonformat"/>
        <w:jc w:val="both"/>
      </w:pPr>
      <w:r>
        <w:t>_____________________________________________________________________________</w:t>
      </w:r>
    </w:p>
    <w:p w:rsidR="00CD32A8" w:rsidRPr="0089702E" w:rsidRDefault="00CD32A8" w:rsidP="00CD32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CD32A8" w:rsidRPr="0089702E" w:rsidRDefault="00CD32A8" w:rsidP="00CD32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CD32A8" w:rsidRDefault="00CD32A8" w:rsidP="00CD32A8">
      <w:pPr>
        <w:pStyle w:val="ConsPlusNonformat"/>
        <w:jc w:val="both"/>
      </w:pPr>
    </w:p>
    <w:p w:rsidR="00CD32A8" w:rsidRPr="00145842" w:rsidRDefault="00CD32A8" w:rsidP="00CD32A8">
      <w:pPr>
        <w:pStyle w:val="ConsPlusNonformat"/>
        <w:spacing w:line="360" w:lineRule="auto"/>
        <w:ind w:firstLine="709"/>
        <w:jc w:val="both"/>
      </w:pPr>
      <w:proofErr w:type="gramStart"/>
      <w:r w:rsidRPr="00145842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D6FCD">
        <w:rPr>
          <w:rFonts w:ascii="Times New Roman" w:hAnsi="Times New Roman" w:cs="Times New Roman"/>
          <w:sz w:val="28"/>
          <w:szCs w:val="28"/>
        </w:rPr>
        <w:t>внесения изменений в разрешение на строительство исключительно в связи с продлением</w:t>
      </w:r>
      <w:proofErr w:type="gramEnd"/>
      <w:r w:rsidRPr="00ED6FCD">
        <w:rPr>
          <w:rFonts w:ascii="Times New Roman" w:hAnsi="Times New Roman" w:cs="Times New Roman"/>
          <w:sz w:val="28"/>
          <w:szCs w:val="28"/>
        </w:rPr>
        <w:t xml:space="preserve"> срока действия такого разрешения</w:t>
      </w:r>
      <w:r w:rsidRPr="001458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5"/>
        <w:gridCol w:w="710"/>
      </w:tblGrid>
      <w:tr w:rsidR="00CD32A8" w:rsidRPr="00145842" w:rsidTr="00CB5C8A">
        <w:tc>
          <w:tcPr>
            <w:tcW w:w="8615" w:type="dxa"/>
          </w:tcPr>
          <w:p w:rsidR="00CD32A8" w:rsidRPr="00145842" w:rsidRDefault="00CD32A8" w:rsidP="00CB5C8A">
            <w:pPr>
              <w:pStyle w:val="ConsPlusNonformat"/>
              <w:jc w:val="both"/>
            </w:pPr>
            <w:r w:rsidRPr="00145842">
              <w:rPr>
                <w:rFonts w:ascii="Times New Roman" w:hAnsi="Times New Roman" w:cs="Times New Roman"/>
                <w:sz w:val="28"/>
                <w:szCs w:val="28"/>
              </w:rPr>
              <w:t>1. Разрешение на строительство (предоставляется по усмотрению заявителя для проставления на оригинале разрешения, выданного заявителю, соответствующей записи о его продлении)</w:t>
            </w:r>
          </w:p>
        </w:tc>
        <w:tc>
          <w:tcPr>
            <w:tcW w:w="710" w:type="dxa"/>
          </w:tcPr>
          <w:p w:rsidR="00CD32A8" w:rsidRPr="00145842" w:rsidRDefault="00CD32A8" w:rsidP="00CB5C8A">
            <w:pPr>
              <w:pStyle w:val="ConsPlusNonformat"/>
              <w:spacing w:line="360" w:lineRule="auto"/>
              <w:ind w:left="-107"/>
              <w:jc w:val="both"/>
            </w:pPr>
          </w:p>
        </w:tc>
      </w:tr>
    </w:tbl>
    <w:p w:rsidR="00CD32A8" w:rsidRPr="00145842" w:rsidRDefault="00CD32A8" w:rsidP="00CD32A8">
      <w:pPr>
        <w:pStyle w:val="ConsPlusNonformat"/>
        <w:jc w:val="both"/>
      </w:pPr>
    </w:p>
    <w:p w:rsidR="00CD32A8" w:rsidRPr="00145842" w:rsidRDefault="00CD32A8" w:rsidP="00CD32A8">
      <w:pPr>
        <w:pStyle w:val="ConsPlusNonformat"/>
        <w:jc w:val="both"/>
      </w:pPr>
      <w:r w:rsidRPr="00145842">
        <w:t>_____________________________________________________________________________</w:t>
      </w:r>
    </w:p>
    <w:p w:rsidR="00CD32A8" w:rsidRPr="00145842" w:rsidRDefault="00CD32A8" w:rsidP="00CD32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CD32A8" w:rsidRPr="00145842" w:rsidRDefault="00CD32A8" w:rsidP="00CD32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145842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CD32A8" w:rsidRPr="00AC5E4F" w:rsidRDefault="00CD32A8" w:rsidP="00CD32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:rsidR="00CD32A8" w:rsidRPr="00AC5E4F" w:rsidRDefault="00CD32A8" w:rsidP="00CD32A8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proofErr w:type="gramStart"/>
      <w:r w:rsidRPr="006D0487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Pr="00ED6FCD">
        <w:rPr>
          <w:rFonts w:ascii="Times New Roman" w:hAnsi="Times New Roman" w:cs="Times New Roman"/>
          <w:sz w:val="28"/>
          <w:szCs w:val="28"/>
        </w:rPr>
        <w:t>внесения изменений в разрешение на строительство в связи с переходом</w:t>
      </w:r>
      <w:proofErr w:type="gramEnd"/>
      <w:r w:rsidRPr="00ED6FCD">
        <w:rPr>
          <w:rFonts w:ascii="Times New Roman" w:hAnsi="Times New Roman" w:cs="Times New Roman"/>
          <w:sz w:val="28"/>
          <w:szCs w:val="28"/>
        </w:rPr>
        <w:t xml:space="preserve"> прав на земельный участок, образованием земельного участка</w:t>
      </w:r>
      <w:r w:rsidRPr="001458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CD32A8" w:rsidRPr="00145842" w:rsidTr="00CB5C8A">
        <w:tc>
          <w:tcPr>
            <w:tcW w:w="8613" w:type="dxa"/>
          </w:tcPr>
          <w:p w:rsidR="00CD32A8" w:rsidRPr="0014584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5842">
              <w:rPr>
                <w:rFonts w:ascii="Times New Roman" w:hAnsi="Times New Roman" w:cs="Times New Roman"/>
                <w:sz w:val="28"/>
                <w:szCs w:val="28"/>
              </w:rPr>
              <w:t>1. Уведомление о переходе права на земельный участок, об образовании земельного участка</w:t>
            </w:r>
          </w:p>
        </w:tc>
        <w:tc>
          <w:tcPr>
            <w:tcW w:w="710" w:type="dxa"/>
          </w:tcPr>
          <w:p w:rsidR="00CD32A8" w:rsidRPr="00145842" w:rsidRDefault="00CD32A8" w:rsidP="00CB5C8A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RPr="00145842" w:rsidTr="00CB5C8A">
        <w:tc>
          <w:tcPr>
            <w:tcW w:w="8613" w:type="dxa"/>
          </w:tcPr>
          <w:p w:rsidR="00CD32A8" w:rsidRPr="0014584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236A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Pr="00F4093D">
              <w:rPr>
                <w:rFonts w:ascii="Times New Roman" w:hAnsi="Times New Roman" w:cs="Times New Roman"/>
                <w:sz w:val="28"/>
                <w:szCs w:val="28"/>
              </w:rPr>
              <w:t xml:space="preserve">авоустанавливающие документы на земельный участок, если указанные документы (их копии или сведения, содержащиеся в них) отсутствуют в </w:t>
            </w:r>
            <w:r w:rsidRPr="002B7326">
              <w:rPr>
                <w:rFonts w:ascii="Times New Roman" w:hAnsi="Times New Roman" w:cs="Times New Roman"/>
                <w:sz w:val="28"/>
                <w:szCs w:val="28"/>
              </w:rPr>
              <w:t>Едином государственном реестре недвижимости</w:t>
            </w:r>
          </w:p>
        </w:tc>
        <w:tc>
          <w:tcPr>
            <w:tcW w:w="710" w:type="dxa"/>
          </w:tcPr>
          <w:p w:rsidR="00CD32A8" w:rsidRPr="00145842" w:rsidRDefault="00CD32A8" w:rsidP="00CB5C8A">
            <w:pPr>
              <w:pStyle w:val="ConsPlusNonformat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32A8" w:rsidRPr="00145842" w:rsidRDefault="00CD32A8" w:rsidP="00CD32A8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32A8" w:rsidRPr="00145842" w:rsidRDefault="00CD32A8" w:rsidP="00CD32A8">
      <w:pPr>
        <w:pStyle w:val="ConsPlusNonformat"/>
        <w:jc w:val="both"/>
      </w:pPr>
      <w:r w:rsidRPr="00145842">
        <w:t>_____________________________________________________________________________</w:t>
      </w:r>
    </w:p>
    <w:p w:rsidR="00CD32A8" w:rsidRPr="00145842" w:rsidRDefault="00CD32A8" w:rsidP="00CD32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CD32A8" w:rsidRDefault="00CD32A8" w:rsidP="00CD32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45842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145842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CD32A8" w:rsidRDefault="00CD32A8" w:rsidP="00CD32A8">
      <w:pPr>
        <w:pStyle w:val="ConsPlusNonformat"/>
        <w:jc w:val="center"/>
      </w:pPr>
    </w:p>
    <w:p w:rsidR="00CD32A8" w:rsidRPr="00A23033" w:rsidRDefault="00CD32A8" w:rsidP="00CD32A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CD32A8" w:rsidRDefault="00CD32A8" w:rsidP="00CD32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</w:t>
      </w:r>
      <w:r w:rsidRPr="00B52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C086B">
        <w:rPr>
          <w:rFonts w:ascii="Times New Roman" w:hAnsi="Times New Roman" w:cs="Times New Roman"/>
          <w:sz w:val="28"/>
          <w:szCs w:val="28"/>
        </w:rPr>
        <w:t>ри обращении заявителя по вопросу внесения изменений в разрешение на строительство (кроме обращения заявителя по вопросу внесения изменений в разрешение на строительство исключительно в связи с продлением срока действия разрешения на строительство, переходом прав на земельный участок, образованием земельного участка)</w:t>
      </w:r>
      <w:r w:rsidRPr="00A2303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CD32A8" w:rsidTr="00CB5C8A">
        <w:tc>
          <w:tcPr>
            <w:tcW w:w="8613" w:type="dxa"/>
          </w:tcPr>
          <w:p w:rsidR="00CD32A8" w:rsidRPr="00CF440B" w:rsidRDefault="00CD32A8" w:rsidP="00CD32A8">
            <w:pPr>
              <w:pStyle w:val="ConsPlusNonformat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F440B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оглашение о передаче в случаях, установленных бюджетным </w:t>
            </w:r>
            <w:hyperlink r:id="rId14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Росатом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Государственной корпорацией по космической деятельности «</w:t>
            </w:r>
            <w:proofErr w:type="spellStart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Роскосмос</w:t>
            </w:r>
            <w:proofErr w:type="spell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правоустанавливающие документы на земельный участок правообладателя, с которым заключено это соглашение</w:t>
            </w:r>
            <w:proofErr w:type="gramEnd"/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F440B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котором, в числе прочего,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55D7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. Материалы, содержащиеся в проектной документации: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55D7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 пояснительная записка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55D7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55D7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55D7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г) архитектурные решения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55D7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55D7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е) проект организации строительства объекта капитального строительства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55D7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ж) проект организации работ по сносу или демонтажу объектов капитального строительства, их частей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55D7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з) перечень мероприятий по обеспечению доступа инвалидов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 в случае строительства, реконструкции указанных объектов при условии, что экспертиза проектной документации указанных объектов не проводилась в соответствии со </w:t>
            </w:r>
            <w:hyperlink r:id="rId15" w:history="1">
              <w:r w:rsidRPr="00C55D72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</w:t>
            </w:r>
            <w:proofErr w:type="gramEnd"/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55D7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      </w:r>
            <w:hyperlink r:id="rId16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частью 12.1 статьи 48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Федерации), если такая проектная документация подлежит экспертизе в соответствии со </w:t>
            </w:r>
            <w:hyperlink r:id="rId17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статьей 49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      </w:r>
            <w:hyperlink r:id="rId18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частью 3.4 статьи 49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Градостроительного кодекса Российской Федерации, положительное заключение государственной экологической</w:t>
            </w:r>
            <w:proofErr w:type="gramEnd"/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проектной документации в случаях, предусмотренных </w:t>
            </w:r>
            <w:hyperlink r:id="rId19" w:history="1">
              <w:r w:rsidRPr="005B1B68">
                <w:rPr>
                  <w:rFonts w:ascii="Times New Roman" w:hAnsi="Times New Roman" w:cs="Times New Roman"/>
                  <w:sz w:val="28"/>
                  <w:szCs w:val="28"/>
                </w:rPr>
                <w:t>частью 6 статьи 49</w:t>
              </w:r>
            </w:hyperlink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Градостроительного кодекса Российской Федерации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55D7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Р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 xml:space="preserve">азрешение на отклонение от предельных параметров разрешенного строительства (в случае, если застройщику было предоставлено такое разрешение в соответствии со </w:t>
            </w:r>
            <w:hyperlink r:id="rId20" w:history="1">
              <w:r w:rsidRPr="003C0B5F">
                <w:rPr>
                  <w:rFonts w:ascii="Times New Roman" w:hAnsi="Times New Roman" w:cs="Times New Roman"/>
                  <w:sz w:val="28"/>
                  <w:szCs w:val="28"/>
                </w:rPr>
                <w:t>статьей 40</w:t>
              </w:r>
            </w:hyperlink>
            <w:r w:rsidRPr="003C0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2D9">
              <w:rPr>
                <w:rFonts w:ascii="Times New Roman" w:hAnsi="Times New Roman" w:cs="Times New Roman"/>
                <w:sz w:val="28"/>
                <w:szCs w:val="28"/>
              </w:rPr>
              <w:t>Градостроительного кодекса Российской Федерации)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55D7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>7.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 если представлено заключение негосударственной экспертизы проектной документации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55D72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proofErr w:type="gramStart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</w:t>
            </w:r>
            <w:hyperlink r:id="rId21" w:history="1">
              <w:r w:rsidRPr="00C55D72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</w:t>
            </w:r>
            <w:proofErr w:type="gramEnd"/>
            <w:r w:rsidRPr="00C55D72">
              <w:rPr>
                <w:rFonts w:ascii="Times New Roman" w:hAnsi="Times New Roman" w:cs="Times New Roman"/>
                <w:sz w:val="28"/>
                <w:szCs w:val="28"/>
              </w:rPr>
              <w:t xml:space="preserve"> ранее установленная зона с особыми условиями использования территории подлежит изменению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32A8" w:rsidRDefault="00CD32A8" w:rsidP="00CD32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2A8" w:rsidRPr="00A23033" w:rsidRDefault="00CD32A8" w:rsidP="00CD32A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Перечень документов, которые будут получены по </w:t>
      </w:r>
      <w:proofErr w:type="gramStart"/>
      <w:r w:rsidRPr="00A23033">
        <w:rPr>
          <w:rFonts w:ascii="Times New Roman" w:hAnsi="Times New Roman" w:cs="Times New Roman"/>
          <w:sz w:val="28"/>
          <w:szCs w:val="28"/>
        </w:rPr>
        <w:t>межведомственным</w:t>
      </w:r>
      <w:proofErr w:type="gramEnd"/>
    </w:p>
    <w:p w:rsidR="00CD32A8" w:rsidRDefault="00CD32A8" w:rsidP="00CD32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>запросам</w:t>
      </w:r>
      <w:r w:rsidRPr="00B523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6C086B">
        <w:rPr>
          <w:rFonts w:ascii="Times New Roman" w:hAnsi="Times New Roman" w:cs="Times New Roman"/>
          <w:sz w:val="28"/>
          <w:szCs w:val="28"/>
        </w:rPr>
        <w:t>ри обращении заявителя по вопросу внесения изменений в разрешение на строительство в связи</w:t>
      </w:r>
      <w:proofErr w:type="gramEnd"/>
      <w:r w:rsidRPr="006C086B">
        <w:rPr>
          <w:rFonts w:ascii="Times New Roman" w:hAnsi="Times New Roman" w:cs="Times New Roman"/>
          <w:sz w:val="28"/>
          <w:szCs w:val="28"/>
        </w:rPr>
        <w:t xml:space="preserve"> с переходом прав на земельный участок, образованием земельного участка</w:t>
      </w:r>
      <w:r w:rsidRPr="00A23033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3"/>
        <w:gridCol w:w="710"/>
      </w:tblGrid>
      <w:tr w:rsidR="00CD32A8" w:rsidTr="00CB5C8A">
        <w:tc>
          <w:tcPr>
            <w:tcW w:w="8613" w:type="dxa"/>
          </w:tcPr>
          <w:p w:rsidR="00CD32A8" w:rsidRPr="00CF440B" w:rsidRDefault="00CD32A8" w:rsidP="00CD32A8">
            <w:pPr>
              <w:pStyle w:val="ConsPlusNonformat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C086B">
              <w:rPr>
                <w:rFonts w:ascii="Times New Roman" w:hAnsi="Times New Roman" w:cs="Times New Roman"/>
                <w:sz w:val="28"/>
                <w:szCs w:val="28"/>
              </w:rPr>
              <w:t>ыписка из Единого государственного реестра недвижимости о зарегистрированных правах на объект недвижимости (земельный участок)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CF440B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23D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радостроительный план земельного участка, в котором, в числе прочего, содержится информация об ограничениях использования земельного участка, в том </w:t>
            </w:r>
            <w:proofErr w:type="gramStart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3315AC">
              <w:rPr>
                <w:rFonts w:ascii="Times New Roman" w:hAnsi="Times New Roman" w:cs="Times New Roman"/>
                <w:sz w:val="28"/>
                <w:szCs w:val="28"/>
              </w:rPr>
              <w:t xml:space="preserve"> если земельный участок полностью или частично расположен в границах зон с особыми условиями использования территорий,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t xml:space="preserve">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</w:t>
            </w:r>
            <w:r w:rsidRPr="005B1B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2A8" w:rsidTr="00CB5C8A">
        <w:tc>
          <w:tcPr>
            <w:tcW w:w="8613" w:type="dxa"/>
          </w:tcPr>
          <w:p w:rsidR="00CD32A8" w:rsidRPr="00B523D5" w:rsidRDefault="00CD32A8" w:rsidP="00CB5C8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A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4D4E4F">
              <w:rPr>
                <w:rFonts w:ascii="Times New Roman" w:hAnsi="Times New Roman" w:cs="Times New Roman"/>
                <w:sz w:val="28"/>
                <w:szCs w:val="28"/>
              </w:rPr>
              <w:t>ешение об образовании земельного участка</w:t>
            </w:r>
            <w:r w:rsidRPr="00384327">
              <w:rPr>
                <w:rFonts w:ascii="Times New Roman" w:hAnsi="Times New Roman" w:cs="Times New Roman"/>
                <w:sz w:val="28"/>
                <w:szCs w:val="28"/>
              </w:rPr>
              <w:t xml:space="preserve">, если в соответствии с земельным </w:t>
            </w:r>
            <w:hyperlink r:id="rId22" w:history="1">
              <w:r w:rsidRPr="00384327">
                <w:rPr>
                  <w:rFonts w:ascii="Times New Roman" w:hAnsi="Times New Roman" w:cs="Times New Roman"/>
                  <w:sz w:val="28"/>
                  <w:szCs w:val="28"/>
                </w:rPr>
                <w:t>законодательством</w:t>
              </w:r>
            </w:hyperlink>
            <w:r w:rsidRPr="00384327">
              <w:rPr>
                <w:rFonts w:ascii="Times New Roman" w:hAnsi="Times New Roman" w:cs="Times New Roman"/>
                <w:sz w:val="28"/>
                <w:szCs w:val="28"/>
              </w:rPr>
              <w:t xml:space="preserve"> решение об образовании земельного участка принимает исполнительный орган государственной власти или орган местного самоуправления</w:t>
            </w:r>
          </w:p>
        </w:tc>
        <w:tc>
          <w:tcPr>
            <w:tcW w:w="710" w:type="dxa"/>
          </w:tcPr>
          <w:p w:rsidR="00CD32A8" w:rsidRDefault="00CD32A8" w:rsidP="00CB5C8A">
            <w:pPr>
              <w:pStyle w:val="ConsPlusNonformat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32A8" w:rsidRPr="00A23033" w:rsidRDefault="00CD32A8" w:rsidP="00CD32A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32A8" w:rsidRDefault="00CD32A8" w:rsidP="00CD32A8">
      <w:pPr>
        <w:pStyle w:val="ConsPlusNonformat"/>
        <w:jc w:val="both"/>
      </w:pPr>
      <w:r>
        <w:t>_____________________________________________________________________________</w:t>
      </w:r>
    </w:p>
    <w:p w:rsidR="00CD32A8" w:rsidRPr="0089702E" w:rsidRDefault="00CD32A8" w:rsidP="00CD32A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9702E">
        <w:rPr>
          <w:rFonts w:ascii="Times New Roman" w:hAnsi="Times New Roman" w:cs="Times New Roman"/>
          <w:sz w:val="24"/>
          <w:szCs w:val="24"/>
        </w:rPr>
        <w:t>(подпись, расшифровка подписи, должность специалиста,</w:t>
      </w:r>
      <w:proofErr w:type="gramEnd"/>
    </w:p>
    <w:p w:rsidR="00CD32A8" w:rsidRDefault="00CD32A8" w:rsidP="00CD32A8">
      <w:pPr>
        <w:pStyle w:val="ConsPlusNormal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89702E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89702E">
        <w:rPr>
          <w:rFonts w:ascii="Times New Roman" w:hAnsi="Times New Roman" w:cs="Times New Roman"/>
          <w:sz w:val="24"/>
          <w:szCs w:val="24"/>
        </w:rPr>
        <w:t xml:space="preserve"> за прием документов)</w:t>
      </w:r>
    </w:p>
    <w:p w:rsidR="00CD32A8" w:rsidRDefault="00CD32A8" w:rsidP="00CD32A8">
      <w:pPr>
        <w:pStyle w:val="ConsPlusNormal"/>
        <w:ind w:firstLine="540"/>
        <w:jc w:val="both"/>
      </w:pPr>
    </w:p>
    <w:p w:rsidR="00CD32A8" w:rsidRDefault="00CD32A8" w:rsidP="00CD32A8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подготовки</w:t>
      </w:r>
    </w:p>
    <w:p w:rsidR="00CD32A8" w:rsidRDefault="00CD32A8" w:rsidP="00CD32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выдачи разрешительной документации </w:t>
      </w:r>
    </w:p>
    <w:p w:rsidR="00CD32A8" w:rsidRPr="0023326D" w:rsidRDefault="00CD32A8" w:rsidP="00CD32A8">
      <w:pPr>
        <w:adjustRightInd w:val="0"/>
        <w:jc w:val="both"/>
      </w:pPr>
      <w:r>
        <w:rPr>
          <w:sz w:val="28"/>
          <w:szCs w:val="28"/>
        </w:rPr>
        <w:t>в области строительства                                                                       Е.И. Усачев</w:t>
      </w:r>
    </w:p>
    <w:p w:rsidR="00AD3853" w:rsidRDefault="00AD3853"/>
    <w:sectPr w:rsidR="00AD3853" w:rsidSect="00817142">
      <w:headerReference w:type="default" r:id="rId23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B5A" w:rsidRDefault="00907B5A" w:rsidP="00CD2D6C">
      <w:r>
        <w:separator/>
      </w:r>
    </w:p>
  </w:endnote>
  <w:endnote w:type="continuationSeparator" w:id="0">
    <w:p w:rsidR="00907B5A" w:rsidRDefault="00907B5A" w:rsidP="00CD2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B5A" w:rsidRDefault="00907B5A" w:rsidP="00CD2D6C">
      <w:r>
        <w:separator/>
      </w:r>
    </w:p>
  </w:footnote>
  <w:footnote w:type="continuationSeparator" w:id="0">
    <w:p w:rsidR="00907B5A" w:rsidRDefault="00907B5A" w:rsidP="00CD2D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9538649"/>
      <w:docPartObj>
        <w:docPartGallery w:val="Page Numbers (Top of Page)"/>
        <w:docPartUnique/>
      </w:docPartObj>
    </w:sdtPr>
    <w:sdtEndPr/>
    <w:sdtContent>
      <w:p w:rsidR="00CD2D6C" w:rsidRDefault="00CD2D6C">
        <w:pPr>
          <w:pStyle w:val="a4"/>
          <w:jc w:val="center"/>
        </w:pPr>
        <w:r w:rsidRPr="00CD2D6C">
          <w:rPr>
            <w:sz w:val="24"/>
            <w:szCs w:val="24"/>
          </w:rPr>
          <w:fldChar w:fldCharType="begin"/>
        </w:r>
        <w:r w:rsidRPr="00CD2D6C">
          <w:rPr>
            <w:sz w:val="24"/>
            <w:szCs w:val="24"/>
          </w:rPr>
          <w:instrText>PAGE   \* MERGEFORMAT</w:instrText>
        </w:r>
        <w:r w:rsidRPr="00CD2D6C">
          <w:rPr>
            <w:sz w:val="24"/>
            <w:szCs w:val="24"/>
          </w:rPr>
          <w:fldChar w:fldCharType="separate"/>
        </w:r>
        <w:r w:rsidR="00935C2A">
          <w:rPr>
            <w:noProof/>
            <w:sz w:val="24"/>
            <w:szCs w:val="24"/>
          </w:rPr>
          <w:t>7</w:t>
        </w:r>
        <w:r w:rsidRPr="00CD2D6C">
          <w:rPr>
            <w:sz w:val="24"/>
            <w:szCs w:val="24"/>
          </w:rPr>
          <w:fldChar w:fldCharType="end"/>
        </w:r>
      </w:p>
    </w:sdtContent>
  </w:sdt>
  <w:p w:rsidR="00CD2D6C" w:rsidRDefault="00CD2D6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87373"/>
    <w:multiLevelType w:val="hybridMultilevel"/>
    <w:tmpl w:val="14568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B534E"/>
    <w:multiLevelType w:val="hybridMultilevel"/>
    <w:tmpl w:val="96FCB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A8"/>
    <w:rsid w:val="00042FCB"/>
    <w:rsid w:val="00817142"/>
    <w:rsid w:val="00907B5A"/>
    <w:rsid w:val="00935C2A"/>
    <w:rsid w:val="00AD3853"/>
    <w:rsid w:val="00B53D71"/>
    <w:rsid w:val="00CD2D6C"/>
    <w:rsid w:val="00CD32A8"/>
    <w:rsid w:val="00D1184B"/>
    <w:rsid w:val="00EF7BD4"/>
    <w:rsid w:val="00FA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A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3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D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CD32A8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D2D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2D6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D2D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D6C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2A8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D32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32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CD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CD32A8"/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D2D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2D6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D2D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D6C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611133C303B12CB1DA86671A8DBB584DD673DB3AE455FE11E9AE66506FFB330EBB77FFB6U8eBM" TargetMode="External"/><Relationship Id="rId13" Type="http://schemas.openxmlformats.org/officeDocument/2006/relationships/hyperlink" Target="consultantplus://offline/ref=B63B26848D5ADEA787431B1941346AA89A9FCF084F50A49896CC2699ABBF921A2B64693A0DF9CF75vBf4M" TargetMode="External"/><Relationship Id="rId18" Type="http://schemas.openxmlformats.org/officeDocument/2006/relationships/hyperlink" Target="consultantplus://offline/ref=1A611133C303B12CB1DA86671A8DBB584DD673DB3AE455FE11E9AE66506FFB330EBB77F9BC85UCe1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79E31C0BFF4B894C77343A52D3E22D61D7745E9D761212E4355247DA31E1FBD16A55BB272AEK4S9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A611133C303B12CB1DA86671A8DBB584DD673DB3AE455FE11E9AE66506FFB330EBB77F9BC85UCe7M" TargetMode="External"/><Relationship Id="rId17" Type="http://schemas.openxmlformats.org/officeDocument/2006/relationships/hyperlink" Target="consultantplus://offline/ref=1A611133C303B12CB1DA86671A8DBB584DD673DB3AE455FE11E9AE66506FFB330EBB77FFB6U8eBM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A611133C303B12CB1DA86671A8DBB584DD673DB3AE455FE11E9AE66506FFB330EBB77FCBAU8eAM" TargetMode="External"/><Relationship Id="rId20" Type="http://schemas.openxmlformats.org/officeDocument/2006/relationships/hyperlink" Target="consultantplus://offline/ref=FAB442CE484A0004C9CEE87D4BEDC3DB3A72EB96DBC6838D8D308420DB98E06069F3EAF8874F6EB2fFj3Q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A611133C303B12CB1DA86671A8DBB584DD673DB3AE455FE11E9AE66506FFB330EBB77F9BC85UCe1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A611133C303B12CB1DA86671A8DBB584DD673DB3AE455FE11E9AE66506FFB330EBB77FFB6U8eBM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1A611133C303B12CB1DA86671A8DBB584DD673DB3AE455FE11E9AE66506FFB330EBB77FFB6U8eBM" TargetMode="External"/><Relationship Id="rId19" Type="http://schemas.openxmlformats.org/officeDocument/2006/relationships/hyperlink" Target="consultantplus://offline/ref=1A611133C303B12CB1DA86671A8DBB584DD673DB3AE455FE11E9AE66506FFB330EBB77F9BC85UCe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611133C303B12CB1DA86671A8DBB584DD673DB3AE455FE11E9AE66506FFB330EBB77FCBAU8eAM" TargetMode="External"/><Relationship Id="rId14" Type="http://schemas.openxmlformats.org/officeDocument/2006/relationships/hyperlink" Target="consultantplus://offline/ref=B63B26848D5ADEA787431B1941346AA89A9FCE014150A49896CC2699ABBF921A2B64693804FBvCf4M" TargetMode="External"/><Relationship Id="rId22" Type="http://schemas.openxmlformats.org/officeDocument/2006/relationships/hyperlink" Target="consultantplus://offline/ref=693EA6AFD8413707A804C8D16FB586C49BF5B27823F6B0F96A8303260EC112A4B52A1AB6C6UFf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2402</Words>
  <Characters>13692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Полуэктов</dc:creator>
  <cp:lastModifiedBy>Руденко А.О.</cp:lastModifiedBy>
  <cp:revision>2</cp:revision>
  <dcterms:created xsi:type="dcterms:W3CDTF">2019-01-29T12:07:00Z</dcterms:created>
  <dcterms:modified xsi:type="dcterms:W3CDTF">2019-01-29T12:07:00Z</dcterms:modified>
</cp:coreProperties>
</file>