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3A7F3B">
      <w:pPr>
        <w:pStyle w:val="a3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3A7F3B">
      <w:pPr>
        <w:pStyle w:val="a3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3A7F3B">
      <w:pPr>
        <w:pStyle w:val="a3"/>
        <w:spacing w:line="228" w:lineRule="auto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3A7F3B">
      <w:pPr>
        <w:pStyle w:val="a3"/>
        <w:spacing w:line="228" w:lineRule="auto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391941">
        <w:rPr>
          <w:b w:val="0"/>
          <w:szCs w:val="28"/>
        </w:rPr>
        <w:t>21.03.2019</w:t>
      </w:r>
      <w:r w:rsidRPr="00CA3545">
        <w:rPr>
          <w:b w:val="0"/>
          <w:szCs w:val="28"/>
        </w:rPr>
        <w:t xml:space="preserve">    №</w:t>
      </w:r>
      <w:r w:rsidR="00391941">
        <w:rPr>
          <w:b w:val="0"/>
          <w:szCs w:val="28"/>
        </w:rPr>
        <w:t xml:space="preserve"> 234-р</w:t>
      </w:r>
      <w:bookmarkStart w:id="0" w:name="_GoBack"/>
      <w:bookmarkEnd w:id="0"/>
    </w:p>
    <w:p w:rsidR="00805865" w:rsidRDefault="00805865" w:rsidP="003A7F3B">
      <w:pPr>
        <w:pStyle w:val="a3"/>
        <w:spacing w:line="228" w:lineRule="auto"/>
        <w:rPr>
          <w:szCs w:val="28"/>
        </w:rPr>
      </w:pPr>
    </w:p>
    <w:p w:rsidR="00DF401C" w:rsidRDefault="00DF401C" w:rsidP="003A7F3B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825D8" w:rsidRDefault="00DF401C" w:rsidP="003A7F3B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638F"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="0086638F" w:rsidRPr="00CA00F2">
        <w:rPr>
          <w:sz w:val="28"/>
          <w:szCs w:val="28"/>
        </w:rPr>
        <w:t xml:space="preserve"> ЗАТРАТ НА ВЫПОЛНЕНИЕ РАБОТ</w:t>
      </w:r>
    </w:p>
    <w:p w:rsidR="005825D8" w:rsidRDefault="009551B8" w:rsidP="003A7F3B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</w:t>
      </w:r>
      <w:r w:rsidR="00153733">
        <w:rPr>
          <w:sz w:val="28"/>
          <w:szCs w:val="28"/>
        </w:rPr>
        <w:t>,</w:t>
      </w:r>
      <w:r w:rsidR="00DF401C">
        <w:rPr>
          <w:sz w:val="28"/>
          <w:szCs w:val="28"/>
        </w:rPr>
        <w:t xml:space="preserve"> </w:t>
      </w:r>
      <w:r w:rsidR="00153733">
        <w:rPr>
          <w:sz w:val="28"/>
          <w:szCs w:val="28"/>
        </w:rPr>
        <w:t>ВЫПОЛНЯЕМЫХ</w:t>
      </w:r>
      <w:r w:rsidR="00DF401C">
        <w:rPr>
          <w:sz w:val="28"/>
          <w:szCs w:val="28"/>
        </w:rPr>
        <w:t xml:space="preserve"> МУНИЦИПАЛЬНЫ</w:t>
      </w:r>
      <w:r w:rsidR="00153733">
        <w:rPr>
          <w:sz w:val="28"/>
          <w:szCs w:val="28"/>
        </w:rPr>
        <w:t>МИ</w:t>
      </w:r>
      <w:r w:rsidR="00DF401C">
        <w:rPr>
          <w:sz w:val="28"/>
          <w:szCs w:val="28"/>
        </w:rPr>
        <w:t xml:space="preserve"> БЮДЖЕТНЫ</w:t>
      </w:r>
      <w:r w:rsidR="00153733">
        <w:rPr>
          <w:sz w:val="28"/>
          <w:szCs w:val="28"/>
        </w:rPr>
        <w:t>МИ</w:t>
      </w:r>
      <w:r w:rsidR="0086638F" w:rsidRPr="00617D66">
        <w:rPr>
          <w:sz w:val="28"/>
          <w:szCs w:val="28"/>
        </w:rPr>
        <w:t xml:space="preserve"> УЧРЕЖДЕНИ</w:t>
      </w:r>
      <w:r w:rsidR="00153733">
        <w:rPr>
          <w:sz w:val="28"/>
          <w:szCs w:val="28"/>
        </w:rPr>
        <w:t>ЯМИ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  <w:r w:rsidR="0086638F"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="0086638F" w:rsidRPr="00617D66">
        <w:rPr>
          <w:sz w:val="28"/>
          <w:szCs w:val="28"/>
        </w:rPr>
        <w:t xml:space="preserve">» </w:t>
      </w:r>
    </w:p>
    <w:p w:rsidR="00292F8B" w:rsidRDefault="00292F8B" w:rsidP="003A7F3B">
      <w:pPr>
        <w:pStyle w:val="ConsPlusTitle"/>
        <w:widowControl/>
        <w:spacing w:line="228" w:lineRule="auto"/>
        <w:jc w:val="both"/>
        <w:outlineLvl w:val="0"/>
        <w:rPr>
          <w:sz w:val="28"/>
          <w:szCs w:val="28"/>
        </w:rPr>
      </w:pPr>
    </w:p>
    <w:p w:rsidR="00516538" w:rsidRDefault="00045ED4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0A1495">
        <w:rPr>
          <w:b w:val="0"/>
          <w:sz w:val="28"/>
          <w:szCs w:val="28"/>
        </w:rPr>
        <w:t xml:space="preserve"> Раздел </w:t>
      </w:r>
      <w:r w:rsidR="000A1495">
        <w:rPr>
          <w:b w:val="0"/>
          <w:sz w:val="28"/>
          <w:szCs w:val="28"/>
          <w:lang w:val="en-US"/>
        </w:rPr>
        <w:t>VI</w:t>
      </w:r>
      <w:r w:rsidR="000A1495" w:rsidRPr="000A1495">
        <w:rPr>
          <w:b w:val="0"/>
          <w:sz w:val="28"/>
          <w:szCs w:val="28"/>
        </w:rPr>
        <w:t xml:space="preserve"> </w:t>
      </w:r>
      <w:r w:rsidR="000A1495">
        <w:rPr>
          <w:b w:val="0"/>
          <w:sz w:val="28"/>
          <w:szCs w:val="28"/>
        </w:rPr>
        <w:t>«</w:t>
      </w:r>
      <w:r w:rsidR="00136FD7">
        <w:rPr>
          <w:b w:val="0"/>
          <w:sz w:val="28"/>
          <w:szCs w:val="28"/>
        </w:rPr>
        <w:t>Ручная уборка (зимний период)» н</w:t>
      </w:r>
      <w:r w:rsidR="000A1495">
        <w:rPr>
          <w:b w:val="0"/>
          <w:sz w:val="28"/>
          <w:szCs w:val="28"/>
        </w:rPr>
        <w:t>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городского округа город Воронеж «Комбинаты благоустройства районов» (далее – Нормативы затрат) дополнить строкой 14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5F1951" w:rsidRPr="001267AE" w:rsidTr="001267AE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F1951" w:rsidRPr="001267AE" w:rsidRDefault="005F1951" w:rsidP="00061688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  <w:r w:rsidR="00061688">
              <w:rPr>
                <w:b w:val="0"/>
                <w:sz w:val="24"/>
                <w:szCs w:val="24"/>
              </w:rPr>
              <w:t xml:space="preserve"> </w:t>
            </w:r>
            <w:r w:rsidR="009551B8"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F1951" w:rsidRPr="001267AE" w:rsidRDefault="009551B8" w:rsidP="00153733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866D60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866D60" w:rsidRDefault="008122D7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153733">
              <w:rPr>
                <w:b w:val="0"/>
                <w:sz w:val="24"/>
                <w:szCs w:val="24"/>
              </w:rPr>
              <w:t>1</w:t>
            </w:r>
            <w:r w:rsidR="000A149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866D60" w:rsidRPr="000A1495" w:rsidRDefault="000A1495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Уборка снега снегоуборщиком </w:t>
            </w:r>
            <w:r>
              <w:rPr>
                <w:b w:val="0"/>
                <w:sz w:val="24"/>
                <w:szCs w:val="24"/>
                <w:lang w:val="en-US"/>
              </w:rPr>
              <w:t>Husqvarna</w:t>
            </w:r>
            <w:r w:rsidRPr="000A149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ST</w:t>
            </w:r>
            <w:r w:rsidRPr="000A1495">
              <w:rPr>
                <w:b w:val="0"/>
                <w:sz w:val="24"/>
                <w:szCs w:val="24"/>
              </w:rPr>
              <w:t xml:space="preserve"> 230 </w:t>
            </w:r>
            <w:r>
              <w:rPr>
                <w:b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2268" w:type="dxa"/>
            <w:vAlign w:val="center"/>
          </w:tcPr>
          <w:p w:rsidR="00866D60" w:rsidRPr="004B6CFB" w:rsidRDefault="00153733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866D60" w:rsidRDefault="00442F66" w:rsidP="009A557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2224FC">
              <w:rPr>
                <w:b w:val="0"/>
                <w:bCs w:val="0"/>
                <w:sz w:val="24"/>
                <w:szCs w:val="24"/>
              </w:rPr>
              <w:t>264</w:t>
            </w:r>
            <w:r w:rsidR="00C363C9">
              <w:rPr>
                <w:b w:val="0"/>
                <w:bCs w:val="0"/>
                <w:sz w:val="24"/>
                <w:szCs w:val="24"/>
              </w:rPr>
              <w:t>,1</w:t>
            </w:r>
            <w:r w:rsidR="000A1495" w:rsidRPr="002224FC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3A7F3B" w:rsidRDefault="003A7F3B" w:rsidP="003A7F3B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1267AE" w:rsidRDefault="005F211A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5F211A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.</w:t>
      </w:r>
      <w:r w:rsidR="00571552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Нормативы затрат дополнить </w:t>
      </w:r>
      <w:r w:rsidR="009616DB" w:rsidRPr="005E33AC">
        <w:rPr>
          <w:b w:val="0"/>
          <w:sz w:val="28"/>
          <w:szCs w:val="28"/>
        </w:rPr>
        <w:t xml:space="preserve">разделом </w:t>
      </w:r>
      <w:r w:rsidR="009616DB" w:rsidRPr="005E33AC">
        <w:rPr>
          <w:b w:val="0"/>
          <w:sz w:val="28"/>
          <w:szCs w:val="28"/>
          <w:lang w:val="en-US"/>
        </w:rPr>
        <w:t>VIII</w:t>
      </w:r>
      <w:r w:rsidR="009616DB" w:rsidRPr="005E33AC">
        <w:rPr>
          <w:b w:val="0"/>
          <w:sz w:val="28"/>
          <w:szCs w:val="28"/>
        </w:rPr>
        <w:t xml:space="preserve"> </w:t>
      </w:r>
      <w:r w:rsidR="001267AE" w:rsidRPr="005E33AC">
        <w:rPr>
          <w:b w:val="0"/>
          <w:sz w:val="28"/>
          <w:szCs w:val="28"/>
        </w:rPr>
        <w:t>следующего</w:t>
      </w:r>
      <w:r w:rsidR="001267AE">
        <w:rPr>
          <w:b w:val="0"/>
          <w:sz w:val="28"/>
          <w:szCs w:val="28"/>
        </w:rPr>
        <w:t xml:space="preserve">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E8455B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E8455B" w:rsidRPr="001267AE" w:rsidRDefault="00E8455B" w:rsidP="004B63B0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E8455B" w:rsidRPr="001267AE" w:rsidRDefault="00E8455B" w:rsidP="004B63B0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E8455B" w:rsidRPr="001267AE" w:rsidRDefault="00E8455B" w:rsidP="004B63B0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  <w:r w:rsidR="00061688">
              <w:rPr>
                <w:b w:val="0"/>
                <w:sz w:val="24"/>
                <w:szCs w:val="24"/>
              </w:rPr>
              <w:t xml:space="preserve"> </w:t>
            </w: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E8455B" w:rsidRPr="001267AE" w:rsidRDefault="00E8455B" w:rsidP="004B63B0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E8455B" w:rsidRPr="001267AE" w:rsidRDefault="00E8455B" w:rsidP="004B63B0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4A22D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4A22DC" w:rsidRDefault="004A22DC" w:rsidP="004A22DC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4A22DC" w:rsidRPr="004240E3" w:rsidRDefault="004A22DC" w:rsidP="004A22DC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4A22DC" w:rsidRDefault="004A22DC" w:rsidP="004A22D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4A22DC" w:rsidRDefault="004A22DC" w:rsidP="004A22DC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E33AC" w:rsidRPr="00C3581F" w:rsidTr="00A9369D">
        <w:trPr>
          <w:cantSplit/>
          <w:trHeight w:val="487"/>
          <w:tblHeader/>
        </w:trPr>
        <w:tc>
          <w:tcPr>
            <w:tcW w:w="993" w:type="dxa"/>
            <w:vAlign w:val="center"/>
          </w:tcPr>
          <w:p w:rsidR="005E33AC" w:rsidRPr="005E33AC" w:rsidRDefault="005E33AC" w:rsidP="00CA0423">
            <w:pPr>
              <w:widowControl w:val="0"/>
              <w:jc w:val="center"/>
            </w:pPr>
          </w:p>
        </w:tc>
        <w:tc>
          <w:tcPr>
            <w:tcW w:w="4677" w:type="dxa"/>
            <w:vAlign w:val="center"/>
          </w:tcPr>
          <w:p w:rsidR="005E33AC" w:rsidRPr="005E33AC" w:rsidRDefault="005E33AC" w:rsidP="005E33AC">
            <w:pPr>
              <w:widowControl w:val="0"/>
            </w:pPr>
            <w:r w:rsidRPr="005E33AC">
              <w:t>«</w:t>
            </w:r>
            <w:r w:rsidRPr="005E33AC">
              <w:rPr>
                <w:lang w:val="en-US"/>
              </w:rPr>
              <w:t>VIII</w:t>
            </w:r>
            <w:r w:rsidRPr="005E33AC">
              <w:t>. Ямочный ремонт</w:t>
            </w:r>
          </w:p>
        </w:tc>
        <w:tc>
          <w:tcPr>
            <w:tcW w:w="2268" w:type="dxa"/>
            <w:vAlign w:val="center"/>
          </w:tcPr>
          <w:p w:rsidR="005E33AC" w:rsidRDefault="005E33A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5E33AC" w:rsidRDefault="005E33AC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57E60" w:rsidRPr="00C3581F" w:rsidTr="00A9369D">
        <w:trPr>
          <w:cantSplit/>
          <w:trHeight w:val="487"/>
          <w:tblHeader/>
        </w:trPr>
        <w:tc>
          <w:tcPr>
            <w:tcW w:w="993" w:type="dxa"/>
            <w:vAlign w:val="center"/>
          </w:tcPr>
          <w:p w:rsidR="00E57E60" w:rsidRDefault="00E57E60" w:rsidP="00CA0423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E57E60" w:rsidRPr="004240E3" w:rsidRDefault="00E57E60" w:rsidP="00CA0423">
            <w:pPr>
              <w:widowControl w:val="0"/>
            </w:pPr>
            <w:r>
              <w:t>Нарезка швов</w:t>
            </w:r>
          </w:p>
        </w:tc>
        <w:tc>
          <w:tcPr>
            <w:tcW w:w="2268" w:type="dxa"/>
            <w:vAlign w:val="center"/>
          </w:tcPr>
          <w:p w:rsidR="00E57E60" w:rsidRDefault="005E33AC" w:rsidP="00CA0423">
            <w:pPr>
              <w:widowControl w:val="0"/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  <w:r w:rsidR="00E57E60">
              <w:t xml:space="preserve"> шва</w:t>
            </w:r>
          </w:p>
        </w:tc>
        <w:tc>
          <w:tcPr>
            <w:tcW w:w="1418" w:type="dxa"/>
            <w:vAlign w:val="center"/>
          </w:tcPr>
          <w:p w:rsidR="00E57E60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226,3</w:t>
            </w:r>
          </w:p>
        </w:tc>
      </w:tr>
      <w:tr w:rsidR="004A22DC" w:rsidRPr="00C3581F" w:rsidTr="00CB5AE5">
        <w:trPr>
          <w:cantSplit/>
          <w:trHeight w:val="848"/>
          <w:tblHeader/>
        </w:trPr>
        <w:tc>
          <w:tcPr>
            <w:tcW w:w="993" w:type="dxa"/>
            <w:vAlign w:val="center"/>
          </w:tcPr>
          <w:p w:rsidR="004A22DC" w:rsidRDefault="009A3827" w:rsidP="00CA0423">
            <w:pPr>
              <w:widowControl w:val="0"/>
              <w:jc w:val="center"/>
            </w:pPr>
            <w:r>
              <w:t>2</w:t>
            </w:r>
          </w:p>
        </w:tc>
        <w:tc>
          <w:tcPr>
            <w:tcW w:w="4677" w:type="dxa"/>
            <w:vAlign w:val="center"/>
          </w:tcPr>
          <w:p w:rsidR="004A22DC" w:rsidRDefault="004A22DC" w:rsidP="00CA0423">
            <w:pPr>
              <w:widowControl w:val="0"/>
            </w:pPr>
            <w:r w:rsidRPr="004240E3">
              <w:t>Розлив битума</w:t>
            </w:r>
            <w:r>
              <w:t>, битумной эмульсии</w:t>
            </w:r>
            <w:r w:rsidRPr="004240E3">
              <w:t xml:space="preserve"> вручную</w:t>
            </w:r>
          </w:p>
        </w:tc>
        <w:tc>
          <w:tcPr>
            <w:tcW w:w="2268" w:type="dxa"/>
            <w:vAlign w:val="center"/>
          </w:tcPr>
          <w:p w:rsidR="004A22DC" w:rsidRDefault="004A22DC" w:rsidP="00CA0423">
            <w:pPr>
              <w:widowControl w:val="0"/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4A22D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6277,5</w:t>
            </w:r>
          </w:p>
        </w:tc>
      </w:tr>
      <w:tr w:rsidR="004A22DC" w:rsidRPr="00C3581F" w:rsidTr="00CB5AE5">
        <w:trPr>
          <w:cantSplit/>
          <w:trHeight w:val="1682"/>
          <w:tblHeader/>
        </w:trPr>
        <w:tc>
          <w:tcPr>
            <w:tcW w:w="993" w:type="dxa"/>
            <w:vAlign w:val="center"/>
          </w:tcPr>
          <w:p w:rsidR="004A22DC" w:rsidRDefault="009A3827" w:rsidP="00CA0423">
            <w:pPr>
              <w:widowControl w:val="0"/>
              <w:jc w:val="center"/>
            </w:pPr>
            <w:r>
              <w:t>3</w:t>
            </w:r>
          </w:p>
        </w:tc>
        <w:tc>
          <w:tcPr>
            <w:tcW w:w="4677" w:type="dxa"/>
            <w:vAlign w:val="center"/>
          </w:tcPr>
          <w:p w:rsidR="004A22DC" w:rsidRDefault="004A22DC" w:rsidP="00CA0423">
            <w:pPr>
              <w:widowControl w:val="0"/>
            </w:pPr>
            <w:r w:rsidRPr="004240E3">
              <w:t>Заделка раскрытых т</w:t>
            </w:r>
            <w:r>
              <w:t>р</w:t>
            </w:r>
            <w:r w:rsidRPr="004240E3">
              <w:t>ещин в асфальтобетонном покрытии с применением установки для ремонта покрытий струйно-инъекционным методом</w:t>
            </w:r>
          </w:p>
        </w:tc>
        <w:tc>
          <w:tcPr>
            <w:tcW w:w="2268" w:type="dxa"/>
            <w:vAlign w:val="center"/>
          </w:tcPr>
          <w:p w:rsidR="004A22DC" w:rsidRDefault="004A22DC" w:rsidP="00CA0423">
            <w:pPr>
              <w:widowControl w:val="0"/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4A22D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24,9</w:t>
            </w:r>
          </w:p>
        </w:tc>
      </w:tr>
      <w:tr w:rsidR="004A22DC" w:rsidRPr="00C3581F" w:rsidTr="00A9369D">
        <w:trPr>
          <w:cantSplit/>
          <w:trHeight w:val="994"/>
          <w:tblHeader/>
        </w:trPr>
        <w:tc>
          <w:tcPr>
            <w:tcW w:w="993" w:type="dxa"/>
            <w:vAlign w:val="center"/>
          </w:tcPr>
          <w:p w:rsidR="004A22DC" w:rsidRDefault="009A3827" w:rsidP="00CA0423">
            <w:pPr>
              <w:widowControl w:val="0"/>
              <w:jc w:val="center"/>
            </w:pPr>
            <w:r>
              <w:t>4</w:t>
            </w:r>
          </w:p>
        </w:tc>
        <w:tc>
          <w:tcPr>
            <w:tcW w:w="4677" w:type="dxa"/>
            <w:vAlign w:val="center"/>
          </w:tcPr>
          <w:p w:rsidR="004A22DC" w:rsidRDefault="004A22DC" w:rsidP="00CA0423">
            <w:pPr>
              <w:widowControl w:val="0"/>
            </w:pPr>
            <w:r w:rsidRPr="004240E3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2268" w:type="dxa"/>
            <w:vAlign w:val="center"/>
          </w:tcPr>
          <w:p w:rsidR="004A22DC" w:rsidRDefault="004A22DC" w:rsidP="00CA0423">
            <w:pPr>
              <w:widowControl w:val="0"/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4A22D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21,1</w:t>
            </w:r>
          </w:p>
        </w:tc>
      </w:tr>
      <w:tr w:rsidR="00A9369D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A9369D" w:rsidRDefault="00CB5AE5" w:rsidP="00CB5AE5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A9369D" w:rsidRPr="007523FB" w:rsidRDefault="00CB5AE5" w:rsidP="00CB5AE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A9369D" w:rsidRDefault="00CB5AE5" w:rsidP="00CB5AE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A9369D" w:rsidRDefault="00CB5AE5" w:rsidP="00CB5AE5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4A22D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4A22DC" w:rsidRPr="007523FB" w:rsidRDefault="009A3827" w:rsidP="00CA0423">
            <w:pPr>
              <w:widowControl w:val="0"/>
              <w:jc w:val="center"/>
            </w:pPr>
            <w:r>
              <w:t>5</w:t>
            </w:r>
          </w:p>
        </w:tc>
        <w:tc>
          <w:tcPr>
            <w:tcW w:w="4677" w:type="dxa"/>
            <w:vAlign w:val="center"/>
          </w:tcPr>
          <w:p w:rsidR="004A22DC" w:rsidRPr="004240E3" w:rsidRDefault="004A22DC" w:rsidP="003B4B8C">
            <w:pPr>
              <w:widowControl w:val="0"/>
            </w:pPr>
            <w:r w:rsidRPr="007523FB">
              <w:t>Ямочный ремонт асфальтобетонного покрытия укатываемой асфаль</w:t>
            </w:r>
            <w:r w:rsidR="003B4B8C">
              <w:t xml:space="preserve">тобетонной смесью с </w:t>
            </w:r>
            <w:r w:rsidR="003B4B8C" w:rsidRPr="00E57E60">
              <w:t xml:space="preserve">применением </w:t>
            </w:r>
            <w:r w:rsidRPr="00E57E60">
              <w:t>битумной эмульсии с обрубкой краев</w:t>
            </w:r>
          </w:p>
        </w:tc>
        <w:tc>
          <w:tcPr>
            <w:tcW w:w="2268" w:type="dxa"/>
            <w:vAlign w:val="center"/>
          </w:tcPr>
          <w:p w:rsidR="004A22DC" w:rsidRDefault="004A22D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4A22DC" w:rsidRDefault="004A22DC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contextualSpacing/>
              <w:jc w:val="center"/>
            </w:pPr>
            <w:r>
              <w:t>5</w:t>
            </w:r>
            <w:r w:rsidR="003B4B8C">
              <w:t>.1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  <w:contextualSpacing/>
            </w:pPr>
            <w:r w:rsidRPr="007B34B7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B34B7">
                <w:t>50 мм</w:t>
              </w:r>
            </w:smartTag>
            <w:r w:rsidRPr="007B34B7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7B34B7">
                <w:t xml:space="preserve">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2B20C9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311,7</w:t>
            </w:r>
          </w:p>
        </w:tc>
      </w:tr>
      <w:tr w:rsidR="003B4B8C" w:rsidRPr="00C3581F" w:rsidTr="004A22DC">
        <w:trPr>
          <w:cantSplit/>
          <w:trHeight w:val="718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5</w:t>
            </w:r>
            <w:r w:rsidR="003B4B8C">
              <w:t>.2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7B34B7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B34B7">
                <w:t>50 мм</w:t>
              </w:r>
            </w:smartTag>
            <w:r w:rsidRPr="007B34B7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7B34B7">
                <w:t xml:space="preserve">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7B34B7">
                <w:t xml:space="preserve">25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210,0</w:t>
            </w:r>
          </w:p>
        </w:tc>
      </w:tr>
      <w:tr w:rsidR="003B4B8C" w:rsidRPr="00C3581F" w:rsidTr="004A22DC">
        <w:trPr>
          <w:cantSplit/>
          <w:trHeight w:val="685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5</w:t>
            </w:r>
            <w:r w:rsidR="003B4B8C">
              <w:t>.3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7B34B7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B34B7">
                <w:t>70 мм</w:t>
              </w:r>
            </w:smartTag>
            <w:r w:rsidRPr="007B34B7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7B34B7">
                <w:t xml:space="preserve">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399,5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5</w:t>
            </w:r>
            <w:r w:rsidR="003B4B8C">
              <w:t>.4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E31264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E31264">
                <w:t>70 мм</w:t>
              </w:r>
            </w:smartTag>
            <w:r w:rsidRPr="00E31264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E31264">
                <w:t xml:space="preserve">5 </w:t>
              </w:r>
              <w:r>
                <w:t>кв. м</w:t>
              </w:r>
            </w:smartTag>
            <w:r w:rsidRPr="00E31264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E31264">
                <w:t xml:space="preserve">25 </w:t>
              </w:r>
              <w:r>
                <w:t>кв. м</w:t>
              </w:r>
            </w:smartTag>
            <w:r w:rsidRPr="00E31264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265,3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6</w:t>
            </w:r>
          </w:p>
        </w:tc>
        <w:tc>
          <w:tcPr>
            <w:tcW w:w="4677" w:type="dxa"/>
            <w:vAlign w:val="center"/>
          </w:tcPr>
          <w:p w:rsidR="003B4B8C" w:rsidRDefault="003B4B8C" w:rsidP="0005647C">
            <w:pPr>
              <w:widowControl w:val="0"/>
            </w:pPr>
            <w:r w:rsidRPr="008A381E">
              <w:t xml:space="preserve">Ямочный ремонт асфальтобетонного покрытия укатываемой асфальтобетонной смесью </w:t>
            </w:r>
            <w:r>
              <w:t>с</w:t>
            </w:r>
            <w:r w:rsidRPr="008A381E">
              <w:t xml:space="preserve"> применением </w:t>
            </w:r>
            <w:r w:rsidR="0005647C">
              <w:t>битумной эмульсии</w:t>
            </w:r>
            <w:r w:rsidRPr="008A381E">
              <w:t xml:space="preserve"> без обрубки краев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3B4B8C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B4B8C" w:rsidRPr="00C3581F" w:rsidTr="00E06CEA">
        <w:trPr>
          <w:cantSplit/>
          <w:trHeight w:val="619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6</w:t>
            </w:r>
            <w:r w:rsidR="003B4B8C">
              <w:t>.1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8A381E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A381E">
                <w:t>50 мм</w:t>
              </w:r>
            </w:smartTag>
            <w:r w:rsidRPr="008A381E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278,6</w:t>
            </w:r>
          </w:p>
        </w:tc>
      </w:tr>
      <w:tr w:rsidR="003B4B8C" w:rsidRPr="00C3581F" w:rsidTr="00E06CEA">
        <w:trPr>
          <w:cantSplit/>
          <w:trHeight w:val="627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6</w:t>
            </w:r>
            <w:r w:rsidR="003B4B8C">
              <w:t>.2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8A381E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A381E">
                <w:t>50 мм</w:t>
              </w:r>
            </w:smartTag>
            <w:r w:rsidRPr="008A381E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A381E">
                <w:t xml:space="preserve">25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176,9</w:t>
            </w:r>
          </w:p>
        </w:tc>
      </w:tr>
      <w:tr w:rsidR="003B4B8C" w:rsidRPr="00C3581F" w:rsidTr="00E06CEA">
        <w:trPr>
          <w:cantSplit/>
          <w:trHeight w:val="635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6</w:t>
            </w:r>
            <w:r w:rsidR="003B4B8C">
              <w:t>.3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8A381E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A381E">
                <w:t>70 мм</w:t>
              </w:r>
            </w:smartTag>
            <w:r w:rsidRPr="008A381E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>кв. м</w:t>
              </w:r>
            </w:smartTag>
            <w:r w:rsidRPr="008A381E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353,3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6</w:t>
            </w:r>
            <w:r w:rsidR="003B4B8C">
              <w:t>.4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8A381E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A381E">
                <w:t>70 мм</w:t>
              </w:r>
            </w:smartTag>
            <w:r w:rsidRPr="008A381E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A381E">
                <w:t xml:space="preserve">25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включительно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219,1</w:t>
            </w:r>
          </w:p>
        </w:tc>
      </w:tr>
      <w:tr w:rsidR="003B4B8C" w:rsidRPr="00C3581F" w:rsidTr="00E06CEA">
        <w:trPr>
          <w:cantSplit/>
          <w:trHeight w:val="939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7</w:t>
            </w:r>
          </w:p>
        </w:tc>
        <w:tc>
          <w:tcPr>
            <w:tcW w:w="4677" w:type="dxa"/>
            <w:vAlign w:val="center"/>
          </w:tcPr>
          <w:p w:rsidR="003B4B8C" w:rsidRPr="008A381E" w:rsidRDefault="003B4B8C" w:rsidP="00CA0423">
            <w:pPr>
              <w:widowControl w:val="0"/>
            </w:pPr>
            <w:r w:rsidRPr="00AA1A98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A1A98">
                <w:t>50 мм</w:t>
              </w:r>
            </w:smartTag>
            <w:r w:rsidRPr="00AA1A98">
              <w:t xml:space="preserve"> </w:t>
            </w:r>
          </w:p>
        </w:tc>
        <w:tc>
          <w:tcPr>
            <w:tcW w:w="2268" w:type="dxa"/>
            <w:vAlign w:val="center"/>
          </w:tcPr>
          <w:p w:rsidR="00E06CEA" w:rsidRDefault="00E06CEA" w:rsidP="00E06CEA">
            <w:pPr>
              <w:widowControl w:val="0"/>
              <w:jc w:val="center"/>
              <w:rPr>
                <w:bCs/>
              </w:rPr>
            </w:pPr>
          </w:p>
          <w:p w:rsidR="00E06CEA" w:rsidRPr="00040668" w:rsidRDefault="00E06CEA" w:rsidP="00E06CEA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Pr="00040668" w:rsidRDefault="003B4B8C" w:rsidP="00CA042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294,0</w:t>
            </w:r>
          </w:p>
        </w:tc>
      </w:tr>
      <w:tr w:rsidR="003B4B8C" w:rsidRPr="00C3581F" w:rsidTr="00E06CEA">
        <w:trPr>
          <w:cantSplit/>
          <w:trHeight w:val="98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8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AA1A98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AA1A98">
                <w:t>70 мм</w:t>
              </w:r>
            </w:smartTag>
          </w:p>
        </w:tc>
        <w:tc>
          <w:tcPr>
            <w:tcW w:w="2268" w:type="dxa"/>
            <w:vAlign w:val="center"/>
          </w:tcPr>
          <w:p w:rsidR="00E06CEA" w:rsidRDefault="00E06CEA" w:rsidP="00E06CEA">
            <w:pPr>
              <w:widowControl w:val="0"/>
              <w:jc w:val="center"/>
              <w:rPr>
                <w:bCs/>
              </w:rPr>
            </w:pPr>
          </w:p>
          <w:p w:rsidR="00E06CEA" w:rsidRPr="00040668" w:rsidRDefault="00E06CEA" w:rsidP="00E06CEA">
            <w:pPr>
              <w:widowControl w:val="0"/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B4B8C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378,3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9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AA1A98">
              <w:t xml:space="preserve">Ямочный ремонт асфальтобетонных покрытий без уплотнения материалов с применением литой асфальтобетонной </w:t>
            </w:r>
            <w:r>
              <w:t xml:space="preserve">смеси, </w:t>
            </w:r>
            <w:r w:rsidRPr="00AA1A98">
              <w:t>толщин</w:t>
            </w:r>
            <w:r>
              <w:t xml:space="preserve">а слоя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t>50 мм</w:t>
              </w:r>
            </w:smartTag>
          </w:p>
        </w:tc>
        <w:tc>
          <w:tcPr>
            <w:tcW w:w="2268" w:type="dxa"/>
            <w:vAlign w:val="center"/>
          </w:tcPr>
          <w:p w:rsidR="003B4B8C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3B4B8C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B4B8C" w:rsidRPr="00C3581F" w:rsidTr="004A22DC">
        <w:trPr>
          <w:cantSplit/>
          <w:trHeight w:val="423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9</w:t>
            </w:r>
            <w:r w:rsidR="003B4B8C">
              <w:t>.1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AA1A98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A1A98">
                <w:t xml:space="preserve">1 </w:t>
              </w:r>
              <w:r>
                <w:t xml:space="preserve">кв. </w:t>
              </w:r>
              <w:r w:rsidRPr="00AA1A98">
                <w:t>м</w:t>
              </w:r>
            </w:smartTag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232,5</w:t>
            </w:r>
          </w:p>
        </w:tc>
      </w:tr>
      <w:tr w:rsidR="003B4B8C" w:rsidRPr="00C3581F" w:rsidTr="004A22DC">
        <w:trPr>
          <w:cantSplit/>
          <w:trHeight w:val="416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9</w:t>
            </w:r>
            <w:r w:rsidR="003B4B8C">
              <w:t>.2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C86310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C86310">
                <w:t xml:space="preserve">3 </w:t>
              </w:r>
              <w:r>
                <w:t xml:space="preserve">кв. </w:t>
              </w:r>
              <w:r w:rsidRPr="00C86310">
                <w:t>м</w:t>
              </w:r>
            </w:smartTag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183,1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C86310">
              <w:t xml:space="preserve">Устройство слоя переменной толщины из асфальтобетонной смеси </w:t>
            </w:r>
            <w:r>
              <w:t>б</w:t>
            </w:r>
            <w:r w:rsidRPr="00C86310">
              <w:t>ез применения укладчиков асфальтобетона</w:t>
            </w:r>
          </w:p>
        </w:tc>
        <w:tc>
          <w:tcPr>
            <w:tcW w:w="2268" w:type="dxa"/>
            <w:vAlign w:val="center"/>
          </w:tcPr>
          <w:p w:rsidR="003B4B8C" w:rsidRDefault="003B4B8C" w:rsidP="00CA0423">
            <w:pPr>
              <w:widowControl w:val="0"/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454,3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C86310">
              <w:t xml:space="preserve">Укладка горячих асфальтобетонных смесей </w:t>
            </w:r>
            <w:r>
              <w:t>(</w:t>
            </w:r>
            <w:r w:rsidRPr="00C86310">
              <w:t>пористых крупнозернистых,</w:t>
            </w:r>
            <w:r>
              <w:t xml:space="preserve"> мелкозернистых)</w:t>
            </w:r>
            <w:r w:rsidR="005E33AC">
              <w:t>,</w:t>
            </w:r>
            <w:r w:rsidRPr="00C86310">
              <w:t xml:space="preserve"> плотность каменных материалов 2</w:t>
            </w:r>
            <w:r>
              <w:t>,</w:t>
            </w:r>
            <w:r w:rsidRPr="00C86310">
              <w:t xml:space="preserve">5 </w:t>
            </w:r>
            <w:r>
              <w:t>–</w:t>
            </w:r>
            <w:r w:rsidRPr="00C86310">
              <w:t xml:space="preserve"> 2</w:t>
            </w:r>
            <w:r>
              <w:t>,</w:t>
            </w:r>
            <w:r w:rsidRPr="00C86310">
              <w:t>9 т/</w:t>
            </w:r>
            <w:r>
              <w:t xml:space="preserve">куб. </w:t>
            </w:r>
            <w:r w:rsidRPr="00C86310">
              <w:t xml:space="preserve">м, на покрытии толщиной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C86310">
                <w:t>4 см</w:t>
              </w:r>
            </w:smartTag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35,9</w:t>
            </w:r>
          </w:p>
        </w:tc>
      </w:tr>
      <w:tr w:rsidR="00E06CEA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E06CEA" w:rsidRDefault="00E06CEA" w:rsidP="00E06CEA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E06CEA" w:rsidRDefault="00E06CEA" w:rsidP="00E06CE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E06CEA" w:rsidRPr="00040668" w:rsidRDefault="00E06CEA" w:rsidP="00E06CE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E06CEA" w:rsidRDefault="00E06CEA" w:rsidP="00E06CEA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3B4B8C" w:rsidRPr="00C3581F" w:rsidTr="00E06CEA">
        <w:trPr>
          <w:cantSplit/>
          <w:trHeight w:val="1001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677" w:type="dxa"/>
            <w:vAlign w:val="center"/>
          </w:tcPr>
          <w:p w:rsidR="003B4B8C" w:rsidRDefault="00354E26" w:rsidP="00354E26">
            <w:pPr>
              <w:widowControl w:val="0"/>
            </w:pPr>
            <w:r>
              <w:t>При изменении толщины покрытия на 0,5 см добавлять к расценке п. 11 или исключать из нее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0,03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99694C">
              <w:t>Устройство подстилающих и выравнивающих слоев оснований из песка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250,2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Pr="00AA5209" w:rsidRDefault="009A3827" w:rsidP="00CA042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4677" w:type="dxa"/>
            <w:vAlign w:val="center"/>
          </w:tcPr>
          <w:p w:rsidR="003B4B8C" w:rsidRPr="00AA5209" w:rsidRDefault="003B4B8C" w:rsidP="00CA0423">
            <w:pPr>
              <w:widowControl w:val="0"/>
            </w:pPr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не менее 98.1 М</w:t>
            </w:r>
            <w:r>
              <w:t>П</w:t>
            </w:r>
            <w:r w:rsidRPr="00AA5209">
              <w:t>а (1000 кгс/</w:t>
            </w:r>
            <w:r>
              <w:t>кв. см</w:t>
            </w:r>
            <w:r w:rsidRPr="00AA5209">
              <w:t>)</w:t>
            </w:r>
          </w:p>
        </w:tc>
        <w:tc>
          <w:tcPr>
            <w:tcW w:w="2268" w:type="dxa"/>
            <w:vAlign w:val="center"/>
          </w:tcPr>
          <w:p w:rsidR="003B4B8C" w:rsidRPr="00AA5209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395,5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Pr="00AA5209" w:rsidRDefault="009A3827" w:rsidP="00CA0423">
            <w:pPr>
              <w:widowControl w:val="0"/>
              <w:jc w:val="center"/>
            </w:pPr>
            <w:r>
              <w:t>15</w:t>
            </w:r>
          </w:p>
        </w:tc>
        <w:tc>
          <w:tcPr>
            <w:tcW w:w="4677" w:type="dxa"/>
            <w:vAlign w:val="center"/>
          </w:tcPr>
          <w:p w:rsidR="003B4B8C" w:rsidRPr="00AA5209" w:rsidRDefault="003B4B8C" w:rsidP="00CA0423">
            <w:pPr>
              <w:widowControl w:val="0"/>
            </w:pPr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свыше 68.6 до 98.1 МПа (свыше 700 до 1000 кгс/</w:t>
            </w:r>
            <w:r>
              <w:t xml:space="preserve">кв. </w:t>
            </w:r>
            <w:r w:rsidRPr="00AA5209">
              <w:t>см)</w:t>
            </w:r>
          </w:p>
        </w:tc>
        <w:tc>
          <w:tcPr>
            <w:tcW w:w="2268" w:type="dxa"/>
            <w:vAlign w:val="center"/>
          </w:tcPr>
          <w:p w:rsidR="003B4B8C" w:rsidRPr="00AA5209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331,6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Pr="00AA5209" w:rsidRDefault="009A3827" w:rsidP="00CA0423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677" w:type="dxa"/>
            <w:vAlign w:val="center"/>
          </w:tcPr>
          <w:p w:rsidR="003B4B8C" w:rsidRPr="00AA5209" w:rsidRDefault="003B4B8C" w:rsidP="00AF4B18">
            <w:pPr>
              <w:widowControl w:val="0"/>
            </w:pPr>
            <w:r w:rsidRPr="00AA5209">
              <w:t xml:space="preserve">Устройство подстилающих и </w:t>
            </w:r>
            <w:r w:rsidRPr="00AF4B18">
              <w:t>выравнивающих слоев оснований из щебня с пределом прочности на сжатие до 68.6 МПа (700 кгс</w:t>
            </w:r>
            <w:r w:rsidRPr="005E33AC">
              <w:t>/кв. см), но не</w:t>
            </w:r>
            <w:r w:rsidRPr="00AA5209">
              <w:t xml:space="preserve"> менее 300 кгс/кв. см</w:t>
            </w:r>
          </w:p>
        </w:tc>
        <w:tc>
          <w:tcPr>
            <w:tcW w:w="2268" w:type="dxa"/>
            <w:vAlign w:val="center"/>
          </w:tcPr>
          <w:p w:rsidR="003B4B8C" w:rsidRPr="00AA5209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283,7</w:t>
            </w:r>
          </w:p>
        </w:tc>
      </w:tr>
      <w:tr w:rsidR="003B4B8C" w:rsidRPr="00C3581F" w:rsidTr="00E06CEA">
        <w:trPr>
          <w:cantSplit/>
          <w:trHeight w:val="683"/>
          <w:tblHeader/>
        </w:trPr>
        <w:tc>
          <w:tcPr>
            <w:tcW w:w="993" w:type="dxa"/>
            <w:vAlign w:val="center"/>
          </w:tcPr>
          <w:p w:rsidR="003B4B8C" w:rsidRPr="00615F82" w:rsidRDefault="009A3827" w:rsidP="00CA0423">
            <w:pPr>
              <w:widowControl w:val="0"/>
              <w:jc w:val="center"/>
            </w:pPr>
            <w:r>
              <w:t>17</w:t>
            </w:r>
          </w:p>
        </w:tc>
        <w:tc>
          <w:tcPr>
            <w:tcW w:w="4677" w:type="dxa"/>
            <w:vAlign w:val="center"/>
          </w:tcPr>
          <w:p w:rsidR="003B4B8C" w:rsidRPr="00615F82" w:rsidRDefault="003B4B8C" w:rsidP="00CA0423">
            <w:pPr>
              <w:widowControl w:val="0"/>
            </w:pPr>
            <w:r w:rsidRPr="00615F82">
              <w:t xml:space="preserve">Устройство оснований из щебня природного толщиной 12 см вручную   </w:t>
            </w:r>
          </w:p>
        </w:tc>
        <w:tc>
          <w:tcPr>
            <w:tcW w:w="2268" w:type="dxa"/>
            <w:vAlign w:val="center"/>
          </w:tcPr>
          <w:p w:rsidR="003B4B8C" w:rsidRPr="00615F82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115,1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Pr="00615F82" w:rsidRDefault="009A3827" w:rsidP="00CA0423">
            <w:pPr>
              <w:widowControl w:val="0"/>
              <w:jc w:val="center"/>
            </w:pPr>
            <w:r>
              <w:t>18</w:t>
            </w:r>
          </w:p>
        </w:tc>
        <w:tc>
          <w:tcPr>
            <w:tcW w:w="4677" w:type="dxa"/>
            <w:vAlign w:val="center"/>
          </w:tcPr>
          <w:p w:rsidR="003B4B8C" w:rsidRPr="00615F82" w:rsidRDefault="00354E26" w:rsidP="00061688">
            <w:pPr>
              <w:widowControl w:val="0"/>
            </w:pPr>
            <w:r>
              <w:t>При изменении толщины покрытия на 1 см добавлять к расценке п. 17 или исключать из нее</w:t>
            </w:r>
          </w:p>
        </w:tc>
        <w:tc>
          <w:tcPr>
            <w:tcW w:w="2268" w:type="dxa"/>
            <w:vAlign w:val="center"/>
          </w:tcPr>
          <w:p w:rsidR="003B4B8C" w:rsidRPr="00615F82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2,7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19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125B40">
              <w:t>Срезка поверхностного слоя асфальтобетонных дорожных покрытий методом холодного фрезерования при ширине барабана фрезы 1000</w:t>
            </w:r>
            <w:r>
              <w:t xml:space="preserve"> мм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3B4B8C" w:rsidRDefault="003B4B8C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B4B8C" w:rsidRPr="00C3581F" w:rsidTr="00CB5AE5">
        <w:trPr>
          <w:cantSplit/>
          <w:trHeight w:val="456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19</w:t>
            </w:r>
            <w:r w:rsidR="003B4B8C">
              <w:t>.1</w:t>
            </w:r>
          </w:p>
        </w:tc>
        <w:tc>
          <w:tcPr>
            <w:tcW w:w="4677" w:type="dxa"/>
            <w:vAlign w:val="center"/>
          </w:tcPr>
          <w:p w:rsidR="003B4B8C" w:rsidRPr="00125B40" w:rsidRDefault="003B4B8C" w:rsidP="00CA0423">
            <w:pPr>
              <w:widowControl w:val="0"/>
            </w:pPr>
            <w:r w:rsidRPr="00125B40">
              <w:t>толщина слоя 5 см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116,2</w:t>
            </w:r>
          </w:p>
        </w:tc>
      </w:tr>
      <w:tr w:rsidR="003B4B8C" w:rsidRPr="00C3581F" w:rsidTr="00CB5AE5">
        <w:trPr>
          <w:cantSplit/>
          <w:trHeight w:val="406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19</w:t>
            </w:r>
            <w:r w:rsidR="003B4B8C">
              <w:t>.2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125B40">
              <w:t>толщина слоя 10 см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193,4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20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125B40">
              <w:t>Укладка мех</w:t>
            </w:r>
            <w:r>
              <w:t xml:space="preserve">анизированным </w:t>
            </w:r>
            <w:r w:rsidRPr="00125B40">
              <w:t>способом материала от фрезерования с разравниванием и уплотнением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231,5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21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125B40">
              <w:t xml:space="preserve">Разборка покрытий и </w:t>
            </w:r>
            <w:proofErr w:type="gramStart"/>
            <w:r w:rsidRPr="00125B40">
              <w:t>оснований</w:t>
            </w:r>
            <w:proofErr w:type="gramEnd"/>
            <w:r w:rsidRPr="00125B40">
              <w:t xml:space="preserve"> щебеночных механизированным способом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92,9</w:t>
            </w: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22</w:t>
            </w:r>
          </w:p>
        </w:tc>
        <w:tc>
          <w:tcPr>
            <w:tcW w:w="4677" w:type="dxa"/>
            <w:vAlign w:val="center"/>
          </w:tcPr>
          <w:p w:rsidR="003B4B8C" w:rsidRPr="00125B40" w:rsidRDefault="003B4B8C" w:rsidP="00CA0423">
            <w:pPr>
              <w:widowControl w:val="0"/>
            </w:pPr>
            <w:r w:rsidRPr="00125B40">
              <w:t>Разборка покрытий и оснований из черного щебня и асфальтобетонных</w:t>
            </w:r>
          </w:p>
        </w:tc>
        <w:tc>
          <w:tcPr>
            <w:tcW w:w="2268" w:type="dxa"/>
            <w:vAlign w:val="center"/>
          </w:tcPr>
          <w:p w:rsidR="003B4B8C" w:rsidRPr="00040668" w:rsidRDefault="003B4B8C" w:rsidP="00CA0423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B4B8C" w:rsidRDefault="003B4B8C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B4B8C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3B4B8C" w:rsidRDefault="009A3827" w:rsidP="00CA0423">
            <w:pPr>
              <w:widowControl w:val="0"/>
              <w:jc w:val="center"/>
            </w:pPr>
            <w:r>
              <w:t>22</w:t>
            </w:r>
            <w:r w:rsidR="003B4B8C">
              <w:t>.1</w:t>
            </w:r>
          </w:p>
        </w:tc>
        <w:tc>
          <w:tcPr>
            <w:tcW w:w="4677" w:type="dxa"/>
            <w:vAlign w:val="center"/>
          </w:tcPr>
          <w:p w:rsidR="003B4B8C" w:rsidRDefault="003B4B8C" w:rsidP="00CA0423">
            <w:pPr>
              <w:widowControl w:val="0"/>
            </w:pPr>
            <w:r w:rsidRPr="00125B40">
              <w:t>механизированным способом</w:t>
            </w:r>
          </w:p>
        </w:tc>
        <w:tc>
          <w:tcPr>
            <w:tcW w:w="2268" w:type="dxa"/>
            <w:vAlign w:val="center"/>
          </w:tcPr>
          <w:p w:rsidR="003B4B8C" w:rsidRPr="00CB1376" w:rsidRDefault="003B4B8C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B4B8C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132,5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9A3827">
            <w:pPr>
              <w:widowControl w:val="0"/>
              <w:jc w:val="center"/>
            </w:pPr>
            <w:r>
              <w:t>22.2</w:t>
            </w:r>
          </w:p>
        </w:tc>
        <w:tc>
          <w:tcPr>
            <w:tcW w:w="4677" w:type="dxa"/>
            <w:vAlign w:val="center"/>
          </w:tcPr>
          <w:p w:rsidR="00061688" w:rsidRDefault="005E33AC" w:rsidP="00CA0423">
            <w:pPr>
              <w:widowControl w:val="0"/>
            </w:pPr>
            <w:r>
              <w:t>в</w:t>
            </w:r>
            <w:r w:rsidR="00061688" w:rsidRPr="00125B40">
              <w:t>ручную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917,0</w:t>
            </w:r>
          </w:p>
        </w:tc>
      </w:tr>
      <w:tr w:rsidR="00061688" w:rsidRPr="00C3581F" w:rsidTr="00E06CEA">
        <w:trPr>
          <w:cantSplit/>
          <w:trHeight w:val="683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23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125B40">
              <w:t>Разборка тротуаров и дорожек из плит с их отноской и у</w:t>
            </w:r>
            <w:r>
              <w:t>к</w:t>
            </w:r>
            <w:r w:rsidRPr="00125B40">
              <w:t>ладкой в штабель</w:t>
            </w:r>
            <w:r>
              <w:t xml:space="preserve"> вручную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38,4</w:t>
            </w:r>
          </w:p>
        </w:tc>
      </w:tr>
      <w:tr w:rsidR="00061688" w:rsidRPr="00C3581F" w:rsidTr="00E06CEA">
        <w:trPr>
          <w:cantSplit/>
          <w:trHeight w:val="707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24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990E63">
              <w:t>Разборка бортовых камней на бетонном основании</w:t>
            </w:r>
            <w:r>
              <w:t xml:space="preserve"> вручную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238,9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25</w:t>
            </w:r>
          </w:p>
        </w:tc>
        <w:tc>
          <w:tcPr>
            <w:tcW w:w="4677" w:type="dxa"/>
            <w:vAlign w:val="center"/>
          </w:tcPr>
          <w:p w:rsidR="00061688" w:rsidRDefault="00061688" w:rsidP="005E33AC">
            <w:pPr>
              <w:widowControl w:val="0"/>
            </w:pPr>
            <w:r w:rsidRPr="00990E63">
              <w:t>Разборка бортовых камней на щебеночном основании</w:t>
            </w:r>
            <w:r>
              <w:t xml:space="preserve"> вручную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176,0</w:t>
            </w:r>
          </w:p>
        </w:tc>
      </w:tr>
      <w:tr w:rsidR="00E06CEA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E06CEA" w:rsidRDefault="00E06CEA" w:rsidP="00E06CEA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E06CEA" w:rsidRPr="00990E63" w:rsidRDefault="00E06CEA" w:rsidP="00E06CE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E06CEA" w:rsidRPr="00040668" w:rsidRDefault="00E06CEA" w:rsidP="00E06CE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E06CEA" w:rsidRDefault="00E06CEA" w:rsidP="00E06CEA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26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990E63">
              <w:t>Установка бортовых камней бет</w:t>
            </w:r>
            <w:r>
              <w:t>онных при других видах покрытия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100.30.18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253,6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27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100.30.15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216,9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28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 xml:space="preserve">амень бордюрный (бортовой) </w:t>
            </w:r>
            <w:proofErr w:type="spellStart"/>
            <w:r w:rsidRPr="00990E63">
              <w:t>поребрик</w:t>
            </w:r>
            <w:proofErr w:type="spellEnd"/>
            <w:r w:rsidRPr="00990E63">
              <w:t xml:space="preserve"> серый и цветной БР</w:t>
            </w:r>
            <w:r>
              <w:t xml:space="preserve"> </w:t>
            </w:r>
            <w:r w:rsidRPr="00990E63">
              <w:t>100.20.8</w:t>
            </w:r>
            <w:r>
              <w:t xml:space="preserve">, </w:t>
            </w:r>
            <w:r w:rsidRPr="00990E63">
              <w:t>БР</w:t>
            </w:r>
            <w:r>
              <w:t xml:space="preserve"> </w:t>
            </w:r>
            <w:r w:rsidRPr="00990E63">
              <w:t>50.20.8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77,1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29</w:t>
            </w:r>
          </w:p>
        </w:tc>
        <w:tc>
          <w:tcPr>
            <w:tcW w:w="4677" w:type="dxa"/>
            <w:vAlign w:val="center"/>
          </w:tcPr>
          <w:p w:rsidR="00061688" w:rsidRPr="00990E63" w:rsidRDefault="00061688" w:rsidP="00CA0423">
            <w:pPr>
              <w:widowControl w:val="0"/>
            </w:pPr>
            <w:r w:rsidRPr="00990E63">
              <w:t>Устройств</w:t>
            </w:r>
            <w:r>
              <w:t>о покрытий из тротуарной плитки</w:t>
            </w:r>
          </w:p>
        </w:tc>
        <w:tc>
          <w:tcPr>
            <w:tcW w:w="2268" w:type="dxa"/>
            <w:vAlign w:val="center"/>
          </w:tcPr>
          <w:p w:rsidR="00061688" w:rsidRPr="00040668" w:rsidRDefault="00061688" w:rsidP="00CA042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061688" w:rsidRDefault="00061688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29.1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990E63">
              <w:t xml:space="preserve">количество плитки при укладке на 1 </w:t>
            </w:r>
            <w:r>
              <w:t>кв. м -</w:t>
            </w:r>
            <w:r w:rsidRPr="00990E63">
              <w:t xml:space="preserve"> 40 шт</w:t>
            </w:r>
            <w:r>
              <w:t xml:space="preserve">ук; плитка тротуарная толщиной </w:t>
            </w:r>
            <w:r w:rsidRPr="00990E63">
              <w:t>60</w:t>
            </w:r>
            <w:r>
              <w:t xml:space="preserve">, 80 </w:t>
            </w:r>
            <w:r w:rsidRPr="00990E63">
              <w:t>мм серая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335,6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Default="00061688" w:rsidP="00CA0423">
            <w:pPr>
              <w:widowControl w:val="0"/>
              <w:jc w:val="center"/>
            </w:pPr>
            <w:r>
              <w:t>29.2</w:t>
            </w:r>
          </w:p>
        </w:tc>
        <w:tc>
          <w:tcPr>
            <w:tcW w:w="4677" w:type="dxa"/>
            <w:vAlign w:val="center"/>
          </w:tcPr>
          <w:p w:rsidR="00061688" w:rsidRDefault="00061688" w:rsidP="00CA0423">
            <w:pPr>
              <w:widowControl w:val="0"/>
            </w:pPr>
            <w:r w:rsidRPr="001753F8">
              <w:t xml:space="preserve">количество плитки при укладке на 1 </w:t>
            </w:r>
            <w:r>
              <w:t xml:space="preserve">кв. </w:t>
            </w:r>
            <w:r w:rsidRPr="001753F8">
              <w:t>м</w:t>
            </w:r>
            <w:r>
              <w:t xml:space="preserve"> - </w:t>
            </w:r>
            <w:r w:rsidRPr="001753F8">
              <w:t>55 шт</w:t>
            </w:r>
            <w:r>
              <w:t>ук</w:t>
            </w:r>
            <w:r w:rsidRPr="001753F8">
              <w:t>; плитка тротуарная толщ</w:t>
            </w:r>
            <w:r>
              <w:t xml:space="preserve">иной </w:t>
            </w:r>
            <w:r w:rsidRPr="001753F8">
              <w:t xml:space="preserve"> 60</w:t>
            </w:r>
            <w:r>
              <w:t xml:space="preserve">, 80 </w:t>
            </w:r>
            <w:r w:rsidRPr="001753F8">
              <w:t>мм серая</w:t>
            </w:r>
          </w:p>
        </w:tc>
        <w:tc>
          <w:tcPr>
            <w:tcW w:w="2268" w:type="dxa"/>
            <w:vAlign w:val="center"/>
          </w:tcPr>
          <w:p w:rsidR="00061688" w:rsidRPr="00CB1376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385,2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Pr="006D0801" w:rsidRDefault="00061688" w:rsidP="00CA0423">
            <w:pPr>
              <w:widowControl w:val="0"/>
              <w:jc w:val="center"/>
            </w:pPr>
            <w:r>
              <w:t>29</w:t>
            </w:r>
            <w:r w:rsidRPr="006D0801">
              <w:t>.3</w:t>
            </w:r>
          </w:p>
        </w:tc>
        <w:tc>
          <w:tcPr>
            <w:tcW w:w="4677" w:type="dxa"/>
            <w:vAlign w:val="center"/>
          </w:tcPr>
          <w:p w:rsidR="00061688" w:rsidRPr="006D0801" w:rsidRDefault="00061688" w:rsidP="00CA0423">
            <w:pPr>
              <w:widowControl w:val="0"/>
            </w:pPr>
            <w:r w:rsidRPr="006D0801">
              <w:t>количество плитки при укладке на 1 кв. м - 90 штук; плитка тротуарная толщиной 60, 80 мм серая</w:t>
            </w:r>
          </w:p>
        </w:tc>
        <w:tc>
          <w:tcPr>
            <w:tcW w:w="2268" w:type="dxa"/>
            <w:vAlign w:val="center"/>
          </w:tcPr>
          <w:p w:rsidR="00061688" w:rsidRPr="006D0801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604,2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Pr="006D0801" w:rsidRDefault="00061688" w:rsidP="00CA0423">
            <w:pPr>
              <w:widowControl w:val="0"/>
              <w:jc w:val="center"/>
            </w:pPr>
            <w:r>
              <w:t>30</w:t>
            </w:r>
          </w:p>
        </w:tc>
        <w:tc>
          <w:tcPr>
            <w:tcW w:w="4677" w:type="dxa"/>
            <w:vAlign w:val="center"/>
          </w:tcPr>
          <w:p w:rsidR="00061688" w:rsidRPr="006D0801" w:rsidRDefault="00061688" w:rsidP="00CA0423">
            <w:pPr>
              <w:widowControl w:val="0"/>
            </w:pPr>
            <w:r w:rsidRPr="006D0801">
              <w:t>Резка тротуарной плитки толщиной 70 мм угловой шлифовальной машинкой</w:t>
            </w:r>
          </w:p>
        </w:tc>
        <w:tc>
          <w:tcPr>
            <w:tcW w:w="2268" w:type="dxa"/>
            <w:vAlign w:val="center"/>
          </w:tcPr>
          <w:p w:rsidR="00061688" w:rsidRPr="006D0801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186,0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Pr="006D0801" w:rsidRDefault="00061688" w:rsidP="00CA0423">
            <w:pPr>
              <w:widowControl w:val="0"/>
              <w:jc w:val="center"/>
            </w:pPr>
            <w:r>
              <w:t>31</w:t>
            </w:r>
          </w:p>
        </w:tc>
        <w:tc>
          <w:tcPr>
            <w:tcW w:w="4677" w:type="dxa"/>
            <w:vAlign w:val="center"/>
          </w:tcPr>
          <w:p w:rsidR="00061688" w:rsidRPr="006D0801" w:rsidRDefault="00061688" w:rsidP="00CA0423">
            <w:pPr>
              <w:widowControl w:val="0"/>
            </w:pPr>
            <w:r w:rsidRPr="00AF4B18">
              <w:t>Добавлять (уменьшать) на каждые 10 мм к расценке п. 30</w:t>
            </w:r>
          </w:p>
        </w:tc>
        <w:tc>
          <w:tcPr>
            <w:tcW w:w="2268" w:type="dxa"/>
            <w:vAlign w:val="center"/>
          </w:tcPr>
          <w:p w:rsidR="00061688" w:rsidRPr="006D0801" w:rsidRDefault="00061688" w:rsidP="00CA0423">
            <w:pPr>
              <w:widowControl w:val="0"/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12,8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Pr="00354521" w:rsidRDefault="00061688" w:rsidP="009A3827">
            <w:pPr>
              <w:widowControl w:val="0"/>
              <w:jc w:val="center"/>
            </w:pPr>
            <w:r w:rsidRPr="00354521">
              <w:t>3</w:t>
            </w:r>
            <w:r w:rsidR="00E43FD8">
              <w:t>2</w:t>
            </w:r>
          </w:p>
        </w:tc>
        <w:tc>
          <w:tcPr>
            <w:tcW w:w="4677" w:type="dxa"/>
            <w:vAlign w:val="center"/>
          </w:tcPr>
          <w:p w:rsidR="00061688" w:rsidRPr="00354521" w:rsidRDefault="00061688" w:rsidP="00CA0423">
            <w:pPr>
              <w:widowControl w:val="0"/>
            </w:pPr>
            <w:r w:rsidRPr="00354521">
              <w:t>Устранение деформаций и повреждений асфальтобетонных покрытий  вручную, толщина слоя 3 см, смесь асфальтобетонная</w:t>
            </w:r>
          </w:p>
        </w:tc>
        <w:tc>
          <w:tcPr>
            <w:tcW w:w="2268" w:type="dxa"/>
            <w:vAlign w:val="center"/>
          </w:tcPr>
          <w:p w:rsidR="00061688" w:rsidRPr="00354521" w:rsidRDefault="00061688" w:rsidP="00CA0423">
            <w:pPr>
              <w:widowControl w:val="0"/>
              <w:jc w:val="center"/>
            </w:pPr>
            <w:r w:rsidRPr="00354521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49,7</w:t>
            </w:r>
          </w:p>
        </w:tc>
      </w:tr>
      <w:tr w:rsidR="00061688" w:rsidRPr="00C3581F" w:rsidTr="004A22DC">
        <w:trPr>
          <w:cantSplit/>
          <w:trHeight w:val="20"/>
          <w:tblHeader/>
        </w:trPr>
        <w:tc>
          <w:tcPr>
            <w:tcW w:w="993" w:type="dxa"/>
            <w:vAlign w:val="center"/>
          </w:tcPr>
          <w:p w:rsidR="00061688" w:rsidRPr="00354521" w:rsidRDefault="00E43FD8" w:rsidP="00CA0423">
            <w:pPr>
              <w:widowControl w:val="0"/>
              <w:jc w:val="center"/>
            </w:pPr>
            <w:r>
              <w:t>33</w:t>
            </w:r>
          </w:p>
        </w:tc>
        <w:tc>
          <w:tcPr>
            <w:tcW w:w="4677" w:type="dxa"/>
            <w:vAlign w:val="center"/>
          </w:tcPr>
          <w:p w:rsidR="00061688" w:rsidRPr="00354521" w:rsidRDefault="00061688" w:rsidP="00E43FD8">
            <w:pPr>
              <w:widowControl w:val="0"/>
            </w:pPr>
            <w:r>
              <w:t>При изменении толщины покрытия на 0,5 см добавлять к расценке п. 3</w:t>
            </w:r>
            <w:r w:rsidR="00E43FD8">
              <w:t>2</w:t>
            </w:r>
            <w:r>
              <w:t xml:space="preserve"> или исключать из нее</w:t>
            </w:r>
          </w:p>
        </w:tc>
        <w:tc>
          <w:tcPr>
            <w:tcW w:w="2268" w:type="dxa"/>
            <w:vAlign w:val="center"/>
          </w:tcPr>
          <w:p w:rsidR="00061688" w:rsidRPr="00354521" w:rsidRDefault="00061688" w:rsidP="00CA0423">
            <w:pPr>
              <w:widowControl w:val="0"/>
              <w:jc w:val="center"/>
            </w:pPr>
            <w:r w:rsidRPr="00354521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61688" w:rsidRDefault="00C363C9" w:rsidP="00CA0423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7,6</w:t>
            </w:r>
            <w:r w:rsidR="00061688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31675E" w:rsidRDefault="0031675E" w:rsidP="003A7F3B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E014D9" w:rsidRDefault="00E014D9" w:rsidP="005E0FA7">
      <w:pPr>
        <w:pStyle w:val="a3"/>
        <w:rPr>
          <w:b w:val="0"/>
          <w:bCs w:val="0"/>
          <w:sz w:val="24"/>
          <w:szCs w:val="24"/>
        </w:rPr>
      </w:pPr>
    </w:p>
    <w:p w:rsidR="003B4B8C" w:rsidRDefault="003B4B8C" w:rsidP="005E0FA7">
      <w:pPr>
        <w:pStyle w:val="a3"/>
        <w:rPr>
          <w:b w:val="0"/>
          <w:bCs w:val="0"/>
          <w:sz w:val="24"/>
          <w:szCs w:val="24"/>
        </w:rPr>
      </w:pPr>
    </w:p>
    <w:p w:rsidR="00A074DD" w:rsidRDefault="00A074DD" w:rsidP="005E0FA7">
      <w:pPr>
        <w:pStyle w:val="a3"/>
        <w:rPr>
          <w:b w:val="0"/>
          <w:bCs w:val="0"/>
          <w:szCs w:val="28"/>
        </w:rPr>
      </w:pPr>
      <w:r w:rsidRPr="00A074DD">
        <w:rPr>
          <w:b w:val="0"/>
          <w:bCs w:val="0"/>
          <w:szCs w:val="28"/>
        </w:rPr>
        <w:t>Руководитель управления экономики                                            Т.А. Дьяченко</w:t>
      </w:r>
    </w:p>
    <w:sectPr w:rsidR="00A074DD" w:rsidSect="003B4B8C">
      <w:headerReference w:type="default" r:id="rId9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1A" w:rsidRDefault="005F211A" w:rsidP="005C4FA8">
      <w:r>
        <w:separator/>
      </w:r>
    </w:p>
  </w:endnote>
  <w:endnote w:type="continuationSeparator" w:id="0">
    <w:p w:rsidR="005F211A" w:rsidRDefault="005F211A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1A" w:rsidRDefault="005F211A" w:rsidP="005C4FA8">
      <w:r>
        <w:separator/>
      </w:r>
    </w:p>
  </w:footnote>
  <w:footnote w:type="continuationSeparator" w:id="0">
    <w:p w:rsidR="005F211A" w:rsidRDefault="005F211A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5F211A" w:rsidRDefault="005F211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9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211A" w:rsidRDefault="005F21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B6B"/>
    <w:multiLevelType w:val="hybridMultilevel"/>
    <w:tmpl w:val="EBE0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0C8E"/>
    <w:multiLevelType w:val="hybridMultilevel"/>
    <w:tmpl w:val="171A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03979"/>
    <w:rsid w:val="00004213"/>
    <w:rsid w:val="0001169E"/>
    <w:rsid w:val="00022737"/>
    <w:rsid w:val="00022A3C"/>
    <w:rsid w:val="000335CE"/>
    <w:rsid w:val="00045ED4"/>
    <w:rsid w:val="0005647C"/>
    <w:rsid w:val="00061688"/>
    <w:rsid w:val="0006337E"/>
    <w:rsid w:val="0007621D"/>
    <w:rsid w:val="00077BCC"/>
    <w:rsid w:val="00090687"/>
    <w:rsid w:val="00090EA3"/>
    <w:rsid w:val="0009321A"/>
    <w:rsid w:val="000A1495"/>
    <w:rsid w:val="000A15AD"/>
    <w:rsid w:val="000B0C02"/>
    <w:rsid w:val="000B31B1"/>
    <w:rsid w:val="000B4BBF"/>
    <w:rsid w:val="000C236E"/>
    <w:rsid w:val="000C4F0E"/>
    <w:rsid w:val="000C553A"/>
    <w:rsid w:val="000D4C12"/>
    <w:rsid w:val="000D5818"/>
    <w:rsid w:val="000E0CFF"/>
    <w:rsid w:val="000F0247"/>
    <w:rsid w:val="000F7B05"/>
    <w:rsid w:val="000F7EA6"/>
    <w:rsid w:val="00106849"/>
    <w:rsid w:val="00106961"/>
    <w:rsid w:val="0011041A"/>
    <w:rsid w:val="0011750B"/>
    <w:rsid w:val="001267AE"/>
    <w:rsid w:val="00126B88"/>
    <w:rsid w:val="00127842"/>
    <w:rsid w:val="0013511C"/>
    <w:rsid w:val="0013671D"/>
    <w:rsid w:val="00136FD7"/>
    <w:rsid w:val="001502AD"/>
    <w:rsid w:val="00150BA8"/>
    <w:rsid w:val="00153733"/>
    <w:rsid w:val="00167075"/>
    <w:rsid w:val="00170D9B"/>
    <w:rsid w:val="0017364E"/>
    <w:rsid w:val="00174C49"/>
    <w:rsid w:val="00180794"/>
    <w:rsid w:val="00181855"/>
    <w:rsid w:val="0018541F"/>
    <w:rsid w:val="001B000B"/>
    <w:rsid w:val="001B037C"/>
    <w:rsid w:val="001B3313"/>
    <w:rsid w:val="001B3AD2"/>
    <w:rsid w:val="001C68DA"/>
    <w:rsid w:val="001D2495"/>
    <w:rsid w:val="001D5438"/>
    <w:rsid w:val="001D761C"/>
    <w:rsid w:val="001E332C"/>
    <w:rsid w:val="001E5CCE"/>
    <w:rsid w:val="001F1FB9"/>
    <w:rsid w:val="001F2FDD"/>
    <w:rsid w:val="0020497A"/>
    <w:rsid w:val="00215962"/>
    <w:rsid w:val="00216811"/>
    <w:rsid w:val="002169AF"/>
    <w:rsid w:val="002224FC"/>
    <w:rsid w:val="00231599"/>
    <w:rsid w:val="00232F9D"/>
    <w:rsid w:val="002343E2"/>
    <w:rsid w:val="00236CC0"/>
    <w:rsid w:val="002504CA"/>
    <w:rsid w:val="00253E72"/>
    <w:rsid w:val="0025594C"/>
    <w:rsid w:val="00274D45"/>
    <w:rsid w:val="00277A94"/>
    <w:rsid w:val="00281762"/>
    <w:rsid w:val="00292F8B"/>
    <w:rsid w:val="00295C64"/>
    <w:rsid w:val="002962D9"/>
    <w:rsid w:val="00296EC5"/>
    <w:rsid w:val="002A3067"/>
    <w:rsid w:val="002A4F87"/>
    <w:rsid w:val="002B20C9"/>
    <w:rsid w:val="002B3999"/>
    <w:rsid w:val="002B72D2"/>
    <w:rsid w:val="002C57E2"/>
    <w:rsid w:val="002E38E9"/>
    <w:rsid w:val="002F2424"/>
    <w:rsid w:val="0030131C"/>
    <w:rsid w:val="00304437"/>
    <w:rsid w:val="00313BE2"/>
    <w:rsid w:val="0031675E"/>
    <w:rsid w:val="00316A60"/>
    <w:rsid w:val="00316B95"/>
    <w:rsid w:val="00332821"/>
    <w:rsid w:val="00337E87"/>
    <w:rsid w:val="00341E1E"/>
    <w:rsid w:val="00344A36"/>
    <w:rsid w:val="00346E8B"/>
    <w:rsid w:val="00354E26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1941"/>
    <w:rsid w:val="00393FE1"/>
    <w:rsid w:val="003A6FAF"/>
    <w:rsid w:val="003A7F3B"/>
    <w:rsid w:val="003B0094"/>
    <w:rsid w:val="003B4B8C"/>
    <w:rsid w:val="004055CD"/>
    <w:rsid w:val="00406B5F"/>
    <w:rsid w:val="00410E6A"/>
    <w:rsid w:val="00412D53"/>
    <w:rsid w:val="00436C20"/>
    <w:rsid w:val="00442F66"/>
    <w:rsid w:val="00457DF8"/>
    <w:rsid w:val="00463A13"/>
    <w:rsid w:val="00465D2C"/>
    <w:rsid w:val="00471C7F"/>
    <w:rsid w:val="00480F23"/>
    <w:rsid w:val="00486FAE"/>
    <w:rsid w:val="004939F5"/>
    <w:rsid w:val="004971B0"/>
    <w:rsid w:val="0049752E"/>
    <w:rsid w:val="004A1137"/>
    <w:rsid w:val="004A1A7F"/>
    <w:rsid w:val="004A22DC"/>
    <w:rsid w:val="004A66DF"/>
    <w:rsid w:val="004B3F2E"/>
    <w:rsid w:val="004B65AD"/>
    <w:rsid w:val="004B6CFB"/>
    <w:rsid w:val="004B72DE"/>
    <w:rsid w:val="004C31AC"/>
    <w:rsid w:val="004D36A9"/>
    <w:rsid w:val="004E7F4C"/>
    <w:rsid w:val="004F0983"/>
    <w:rsid w:val="00502EE1"/>
    <w:rsid w:val="005046B2"/>
    <w:rsid w:val="00514F4B"/>
    <w:rsid w:val="00516538"/>
    <w:rsid w:val="00517801"/>
    <w:rsid w:val="00524029"/>
    <w:rsid w:val="00531145"/>
    <w:rsid w:val="0054110A"/>
    <w:rsid w:val="0054428C"/>
    <w:rsid w:val="0056158C"/>
    <w:rsid w:val="00571552"/>
    <w:rsid w:val="00575516"/>
    <w:rsid w:val="005825D8"/>
    <w:rsid w:val="00583A15"/>
    <w:rsid w:val="005915AF"/>
    <w:rsid w:val="00595503"/>
    <w:rsid w:val="00597AEE"/>
    <w:rsid w:val="005A0CD3"/>
    <w:rsid w:val="005A736B"/>
    <w:rsid w:val="005B1DFC"/>
    <w:rsid w:val="005B1EE3"/>
    <w:rsid w:val="005B73CB"/>
    <w:rsid w:val="005C0858"/>
    <w:rsid w:val="005C40BB"/>
    <w:rsid w:val="005C4E6C"/>
    <w:rsid w:val="005C4FA8"/>
    <w:rsid w:val="005C5B9D"/>
    <w:rsid w:val="005E0C04"/>
    <w:rsid w:val="005E0FA7"/>
    <w:rsid w:val="005E33AC"/>
    <w:rsid w:val="005E4766"/>
    <w:rsid w:val="005E592B"/>
    <w:rsid w:val="005E5E7A"/>
    <w:rsid w:val="005F0D47"/>
    <w:rsid w:val="005F1951"/>
    <w:rsid w:val="005F211A"/>
    <w:rsid w:val="005F4A73"/>
    <w:rsid w:val="00602D5F"/>
    <w:rsid w:val="00604963"/>
    <w:rsid w:val="00616F13"/>
    <w:rsid w:val="00620168"/>
    <w:rsid w:val="00621C57"/>
    <w:rsid w:val="006241BF"/>
    <w:rsid w:val="0062454C"/>
    <w:rsid w:val="006315EF"/>
    <w:rsid w:val="00634837"/>
    <w:rsid w:val="006355EE"/>
    <w:rsid w:val="00644F45"/>
    <w:rsid w:val="00646025"/>
    <w:rsid w:val="00647224"/>
    <w:rsid w:val="00662E9F"/>
    <w:rsid w:val="00666C63"/>
    <w:rsid w:val="00674B44"/>
    <w:rsid w:val="00675121"/>
    <w:rsid w:val="0067624D"/>
    <w:rsid w:val="006777AD"/>
    <w:rsid w:val="006A4AC1"/>
    <w:rsid w:val="006A6BC1"/>
    <w:rsid w:val="006D2532"/>
    <w:rsid w:val="006D7A42"/>
    <w:rsid w:val="006E4B2A"/>
    <w:rsid w:val="006F446E"/>
    <w:rsid w:val="00702950"/>
    <w:rsid w:val="00704BC0"/>
    <w:rsid w:val="00706572"/>
    <w:rsid w:val="00707438"/>
    <w:rsid w:val="00716EED"/>
    <w:rsid w:val="007304E1"/>
    <w:rsid w:val="00752FE0"/>
    <w:rsid w:val="00754E44"/>
    <w:rsid w:val="00764882"/>
    <w:rsid w:val="00765926"/>
    <w:rsid w:val="00765D78"/>
    <w:rsid w:val="00770E75"/>
    <w:rsid w:val="00772AA2"/>
    <w:rsid w:val="00773075"/>
    <w:rsid w:val="00780A3D"/>
    <w:rsid w:val="007A64C2"/>
    <w:rsid w:val="007E4A55"/>
    <w:rsid w:val="007F5CB2"/>
    <w:rsid w:val="00805865"/>
    <w:rsid w:val="008122D7"/>
    <w:rsid w:val="00815483"/>
    <w:rsid w:val="0085254E"/>
    <w:rsid w:val="00852E7C"/>
    <w:rsid w:val="008539ED"/>
    <w:rsid w:val="00860D32"/>
    <w:rsid w:val="00862616"/>
    <w:rsid w:val="0086638F"/>
    <w:rsid w:val="00866D60"/>
    <w:rsid w:val="0087617B"/>
    <w:rsid w:val="00876963"/>
    <w:rsid w:val="008878EB"/>
    <w:rsid w:val="008A252A"/>
    <w:rsid w:val="008A7A69"/>
    <w:rsid w:val="008B5A57"/>
    <w:rsid w:val="008B6D69"/>
    <w:rsid w:val="008C3C52"/>
    <w:rsid w:val="008E3E70"/>
    <w:rsid w:val="008E50A5"/>
    <w:rsid w:val="008F4DA4"/>
    <w:rsid w:val="008F644C"/>
    <w:rsid w:val="009005CF"/>
    <w:rsid w:val="00902418"/>
    <w:rsid w:val="00906E35"/>
    <w:rsid w:val="0091105A"/>
    <w:rsid w:val="0091509F"/>
    <w:rsid w:val="00917779"/>
    <w:rsid w:val="00926286"/>
    <w:rsid w:val="009274A6"/>
    <w:rsid w:val="009540D0"/>
    <w:rsid w:val="009551B8"/>
    <w:rsid w:val="009610C5"/>
    <w:rsid w:val="009616DB"/>
    <w:rsid w:val="00963D67"/>
    <w:rsid w:val="009661A4"/>
    <w:rsid w:val="00972C66"/>
    <w:rsid w:val="00983F72"/>
    <w:rsid w:val="0098526B"/>
    <w:rsid w:val="009903CA"/>
    <w:rsid w:val="00994F28"/>
    <w:rsid w:val="009960EA"/>
    <w:rsid w:val="009A1EAB"/>
    <w:rsid w:val="009A27FF"/>
    <w:rsid w:val="009A3827"/>
    <w:rsid w:val="009A5572"/>
    <w:rsid w:val="009B1A39"/>
    <w:rsid w:val="009C3A7D"/>
    <w:rsid w:val="009D10C1"/>
    <w:rsid w:val="009D5FBC"/>
    <w:rsid w:val="009F3758"/>
    <w:rsid w:val="00A06241"/>
    <w:rsid w:val="00A06BCC"/>
    <w:rsid w:val="00A074DD"/>
    <w:rsid w:val="00A1591D"/>
    <w:rsid w:val="00A278CD"/>
    <w:rsid w:val="00A31B5A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05D0"/>
    <w:rsid w:val="00A9369D"/>
    <w:rsid w:val="00AC3B62"/>
    <w:rsid w:val="00AC737F"/>
    <w:rsid w:val="00AD293D"/>
    <w:rsid w:val="00AE0541"/>
    <w:rsid w:val="00AE110C"/>
    <w:rsid w:val="00AE3879"/>
    <w:rsid w:val="00AE662B"/>
    <w:rsid w:val="00AF4B18"/>
    <w:rsid w:val="00B009D8"/>
    <w:rsid w:val="00B10CB6"/>
    <w:rsid w:val="00B152F3"/>
    <w:rsid w:val="00B206BF"/>
    <w:rsid w:val="00B22A96"/>
    <w:rsid w:val="00B33D18"/>
    <w:rsid w:val="00B37515"/>
    <w:rsid w:val="00B465FF"/>
    <w:rsid w:val="00B574C9"/>
    <w:rsid w:val="00B606B3"/>
    <w:rsid w:val="00B60C40"/>
    <w:rsid w:val="00B67052"/>
    <w:rsid w:val="00B71787"/>
    <w:rsid w:val="00B7254D"/>
    <w:rsid w:val="00B743C8"/>
    <w:rsid w:val="00B85AFA"/>
    <w:rsid w:val="00B91C79"/>
    <w:rsid w:val="00B9284E"/>
    <w:rsid w:val="00B935E5"/>
    <w:rsid w:val="00B9509C"/>
    <w:rsid w:val="00BA1433"/>
    <w:rsid w:val="00BB635D"/>
    <w:rsid w:val="00BD0072"/>
    <w:rsid w:val="00BE71FE"/>
    <w:rsid w:val="00C15AAD"/>
    <w:rsid w:val="00C247DE"/>
    <w:rsid w:val="00C24992"/>
    <w:rsid w:val="00C30C70"/>
    <w:rsid w:val="00C3581F"/>
    <w:rsid w:val="00C363C9"/>
    <w:rsid w:val="00C4023A"/>
    <w:rsid w:val="00C44C7B"/>
    <w:rsid w:val="00C47C2E"/>
    <w:rsid w:val="00C5103F"/>
    <w:rsid w:val="00C61C41"/>
    <w:rsid w:val="00C6610A"/>
    <w:rsid w:val="00C663C5"/>
    <w:rsid w:val="00C70390"/>
    <w:rsid w:val="00C70695"/>
    <w:rsid w:val="00C946F7"/>
    <w:rsid w:val="00CA0423"/>
    <w:rsid w:val="00CA19B5"/>
    <w:rsid w:val="00CA3545"/>
    <w:rsid w:val="00CB5AE5"/>
    <w:rsid w:val="00CD1024"/>
    <w:rsid w:val="00CE1302"/>
    <w:rsid w:val="00CE3EB8"/>
    <w:rsid w:val="00CF4B3C"/>
    <w:rsid w:val="00CF74DC"/>
    <w:rsid w:val="00D00B7D"/>
    <w:rsid w:val="00D04BDC"/>
    <w:rsid w:val="00D15821"/>
    <w:rsid w:val="00D2488F"/>
    <w:rsid w:val="00D26EB3"/>
    <w:rsid w:val="00D27F84"/>
    <w:rsid w:val="00D34909"/>
    <w:rsid w:val="00D40FCE"/>
    <w:rsid w:val="00D42B31"/>
    <w:rsid w:val="00D42F9C"/>
    <w:rsid w:val="00D46A35"/>
    <w:rsid w:val="00D46C25"/>
    <w:rsid w:val="00D5509F"/>
    <w:rsid w:val="00D7120C"/>
    <w:rsid w:val="00D71CD5"/>
    <w:rsid w:val="00D731F7"/>
    <w:rsid w:val="00D76242"/>
    <w:rsid w:val="00D85ABA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35E8"/>
    <w:rsid w:val="00DE7CD4"/>
    <w:rsid w:val="00DF401C"/>
    <w:rsid w:val="00E014D9"/>
    <w:rsid w:val="00E05066"/>
    <w:rsid w:val="00E06172"/>
    <w:rsid w:val="00E06CEA"/>
    <w:rsid w:val="00E26AE1"/>
    <w:rsid w:val="00E34BD2"/>
    <w:rsid w:val="00E35A30"/>
    <w:rsid w:val="00E3624F"/>
    <w:rsid w:val="00E41954"/>
    <w:rsid w:val="00E43FD8"/>
    <w:rsid w:val="00E57E60"/>
    <w:rsid w:val="00E61B00"/>
    <w:rsid w:val="00E64C3D"/>
    <w:rsid w:val="00E73C05"/>
    <w:rsid w:val="00E743FA"/>
    <w:rsid w:val="00E75B8B"/>
    <w:rsid w:val="00E83A36"/>
    <w:rsid w:val="00E8455B"/>
    <w:rsid w:val="00E95195"/>
    <w:rsid w:val="00EA30C9"/>
    <w:rsid w:val="00EA4FEA"/>
    <w:rsid w:val="00EA6B5A"/>
    <w:rsid w:val="00EB5C9D"/>
    <w:rsid w:val="00EB6AA4"/>
    <w:rsid w:val="00EE081D"/>
    <w:rsid w:val="00EE084A"/>
    <w:rsid w:val="00EE67D6"/>
    <w:rsid w:val="00EF42D7"/>
    <w:rsid w:val="00F13AAF"/>
    <w:rsid w:val="00F2246A"/>
    <w:rsid w:val="00F24D9B"/>
    <w:rsid w:val="00F41F87"/>
    <w:rsid w:val="00F44778"/>
    <w:rsid w:val="00F4781F"/>
    <w:rsid w:val="00F51C03"/>
    <w:rsid w:val="00F604C3"/>
    <w:rsid w:val="00F6770E"/>
    <w:rsid w:val="00F740A8"/>
    <w:rsid w:val="00F82A38"/>
    <w:rsid w:val="00F87FF3"/>
    <w:rsid w:val="00F90FD9"/>
    <w:rsid w:val="00F93ECC"/>
    <w:rsid w:val="00F94857"/>
    <w:rsid w:val="00F952C0"/>
    <w:rsid w:val="00F96B14"/>
    <w:rsid w:val="00FA061A"/>
    <w:rsid w:val="00FA62C6"/>
    <w:rsid w:val="00FB2259"/>
    <w:rsid w:val="00FB4A23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BC1DE-A249-455E-87E9-30442C0B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nnlebedeva</dc:creator>
  <cp:lastModifiedBy>enshulgina</cp:lastModifiedBy>
  <cp:revision>2</cp:revision>
  <cp:lastPrinted>2019-02-22T06:56:00Z</cp:lastPrinted>
  <dcterms:created xsi:type="dcterms:W3CDTF">2019-03-26T07:27:00Z</dcterms:created>
  <dcterms:modified xsi:type="dcterms:W3CDTF">2019-03-26T07:27:00Z</dcterms:modified>
</cp:coreProperties>
</file>