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AD" w:rsidRPr="00E2744E" w:rsidRDefault="0048415B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</w:t>
      </w:r>
      <w:r w:rsidR="00EB42C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6387C" w:rsidRPr="00225E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="00A835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</w:t>
      </w:r>
      <w:r w:rsidR="00B6387C" w:rsidRPr="00225E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="006664E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</w:t>
      </w:r>
    </w:p>
    <w:p w:rsidR="00E050A1" w:rsidRPr="00E2744E" w:rsidRDefault="00E050A1" w:rsidP="00E050A1">
      <w:pPr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                                                                   </w:t>
      </w:r>
      <w:r w:rsidR="0048415B">
        <w:rPr>
          <w:color w:val="0D0D0D" w:themeColor="text1" w:themeTint="F2"/>
          <w:sz w:val="28"/>
          <w:szCs w:val="28"/>
        </w:rPr>
        <w:t xml:space="preserve">    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w:r w:rsidR="00A835AF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к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нормативным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затратам</w:t>
      </w:r>
      <w:r w:rsidRPr="00E2744E">
        <w:rPr>
          <w:color w:val="0D0D0D" w:themeColor="text1" w:themeTint="F2"/>
          <w:sz w:val="28"/>
          <w:szCs w:val="28"/>
        </w:rPr>
        <w:t xml:space="preserve"> </w:t>
      </w:r>
    </w:p>
    <w:p w:rsidR="0048415B" w:rsidRDefault="00E050A1" w:rsidP="0048415B">
      <w:pPr>
        <w:jc w:val="center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                      </w:t>
      </w:r>
      <w:r w:rsidR="00A835AF">
        <w:rPr>
          <w:color w:val="0D0D0D" w:themeColor="text1" w:themeTint="F2"/>
          <w:sz w:val="28"/>
          <w:szCs w:val="28"/>
        </w:rPr>
        <w:t xml:space="preserve">                              </w:t>
      </w:r>
      <w:r w:rsidR="00C956C4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на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обеспечение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 xml:space="preserve">функций </w:t>
      </w:r>
    </w:p>
    <w:p w:rsidR="00A835AF" w:rsidRDefault="0048415B" w:rsidP="0048415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</w:t>
      </w:r>
      <w:r w:rsidR="00A835AF">
        <w:rPr>
          <w:color w:val="0D0D0D" w:themeColor="text1" w:themeTint="F2"/>
          <w:sz w:val="28"/>
          <w:szCs w:val="28"/>
        </w:rPr>
        <w:t xml:space="preserve">                            </w:t>
      </w:r>
      <w:r>
        <w:rPr>
          <w:color w:val="0D0D0D" w:themeColor="text1" w:themeTint="F2"/>
          <w:sz w:val="28"/>
          <w:szCs w:val="28"/>
        </w:rPr>
        <w:t xml:space="preserve"> </w:t>
      </w:r>
      <w:r w:rsidR="00A4142E">
        <w:rPr>
          <w:color w:val="0D0D0D" w:themeColor="text1" w:themeTint="F2"/>
          <w:sz w:val="28"/>
          <w:szCs w:val="28"/>
        </w:rPr>
        <w:t>м</w:t>
      </w:r>
      <w:r w:rsidRPr="0048415B">
        <w:rPr>
          <w:color w:val="0D0D0D" w:themeColor="text1" w:themeTint="F2"/>
          <w:sz w:val="28"/>
          <w:szCs w:val="28"/>
        </w:rPr>
        <w:t>униципального казенного учреждения</w:t>
      </w:r>
    </w:p>
    <w:p w:rsidR="0048415B" w:rsidRDefault="00A835AF" w:rsidP="0048415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     </w:t>
      </w:r>
      <w:r w:rsidRPr="0048415B">
        <w:rPr>
          <w:color w:val="0D0D0D" w:themeColor="text1" w:themeTint="F2"/>
          <w:sz w:val="28"/>
          <w:szCs w:val="28"/>
        </w:rPr>
        <w:t>городского округа город Воронеж</w:t>
      </w:r>
      <w:r w:rsidR="0048415B" w:rsidRPr="0048415B">
        <w:rPr>
          <w:color w:val="0D0D0D" w:themeColor="text1" w:themeTint="F2"/>
          <w:sz w:val="28"/>
          <w:szCs w:val="28"/>
        </w:rPr>
        <w:t xml:space="preserve"> </w:t>
      </w:r>
    </w:p>
    <w:p w:rsidR="0048415B" w:rsidRDefault="0048415B" w:rsidP="0048415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     </w:t>
      </w:r>
      <w:r w:rsidR="00A835AF">
        <w:rPr>
          <w:color w:val="0D0D0D" w:themeColor="text1" w:themeTint="F2"/>
          <w:sz w:val="28"/>
          <w:szCs w:val="28"/>
        </w:rPr>
        <w:t xml:space="preserve"> </w:t>
      </w:r>
      <w:r w:rsidRPr="0048415B">
        <w:rPr>
          <w:color w:val="0D0D0D" w:themeColor="text1" w:themeTint="F2"/>
          <w:sz w:val="28"/>
          <w:szCs w:val="28"/>
        </w:rPr>
        <w:t xml:space="preserve">«Агентство по созданию и развитию системы </w:t>
      </w:r>
      <w:r>
        <w:rPr>
          <w:color w:val="0D0D0D" w:themeColor="text1" w:themeTint="F2"/>
          <w:sz w:val="28"/>
          <w:szCs w:val="28"/>
        </w:rPr>
        <w:t xml:space="preserve">     </w:t>
      </w:r>
    </w:p>
    <w:p w:rsidR="0048415B" w:rsidRPr="0048415B" w:rsidRDefault="0048415B" w:rsidP="00A835AF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      </w:t>
      </w:r>
      <w:r w:rsidRPr="0048415B">
        <w:rPr>
          <w:color w:val="0D0D0D" w:themeColor="text1" w:themeTint="F2"/>
          <w:sz w:val="28"/>
          <w:szCs w:val="28"/>
        </w:rPr>
        <w:t>упр</w:t>
      </w:r>
      <w:r w:rsidR="00A835AF">
        <w:rPr>
          <w:color w:val="0D0D0D" w:themeColor="text1" w:themeTint="F2"/>
          <w:sz w:val="28"/>
          <w:szCs w:val="28"/>
        </w:rPr>
        <w:t>авления</w:t>
      </w:r>
      <w:r w:rsidR="00A4142E">
        <w:rPr>
          <w:color w:val="0D0D0D" w:themeColor="text1" w:themeTint="F2"/>
          <w:sz w:val="28"/>
          <w:szCs w:val="28"/>
        </w:rPr>
        <w:t xml:space="preserve"> проектной деятельностью</w:t>
      </w:r>
      <w:r w:rsidRPr="0048415B">
        <w:rPr>
          <w:color w:val="0D0D0D" w:themeColor="text1" w:themeTint="F2"/>
          <w:sz w:val="28"/>
          <w:szCs w:val="28"/>
        </w:rPr>
        <w:t>»</w:t>
      </w:r>
    </w:p>
    <w:p w:rsidR="00A4142E" w:rsidRPr="00E2744E" w:rsidRDefault="00A4142E" w:rsidP="0048415B">
      <w:pPr>
        <w:pStyle w:val="ConsPlusNormal"/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C5F8C" w:rsidRPr="00E2744E" w:rsidRDefault="00BC5F8C" w:rsidP="00BC5F8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Расчетные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показатели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для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определения</w:t>
      </w:r>
    </w:p>
    <w:p w:rsidR="00BC5F8C" w:rsidRPr="00E2744E" w:rsidRDefault="00BC5F8C" w:rsidP="00BC5F8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нормативных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затрат на обеспечение функций</w:t>
      </w:r>
    </w:p>
    <w:p w:rsidR="00BC5F8C" w:rsidRPr="00E2744E" w:rsidRDefault="00202061" w:rsidP="00BC5F8C">
      <w:pPr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м</w:t>
      </w:r>
      <w:r w:rsidR="0048415B">
        <w:rPr>
          <w:b/>
          <w:color w:val="0D0D0D" w:themeColor="text1" w:themeTint="F2"/>
          <w:sz w:val="28"/>
          <w:szCs w:val="28"/>
        </w:rPr>
        <w:t xml:space="preserve">униципального казенного учреждения </w:t>
      </w:r>
      <w:r w:rsidR="00A835AF" w:rsidRPr="00A835AF">
        <w:rPr>
          <w:b/>
          <w:color w:val="0D0D0D"/>
          <w:sz w:val="28"/>
          <w:szCs w:val="28"/>
          <w:shd w:val="clear" w:color="auto" w:fill="FFFFFF"/>
        </w:rPr>
        <w:t>городского округа город Воронеж «Агентство по созданию и развитию системы управления проектной деятельностью»</w:t>
      </w:r>
    </w:p>
    <w:p w:rsidR="00A4142E" w:rsidRPr="00E2744E" w:rsidRDefault="00A4142E" w:rsidP="006E4D26">
      <w:pPr>
        <w:rPr>
          <w:color w:val="0D0D0D" w:themeColor="text1" w:themeTint="F2"/>
          <w:sz w:val="28"/>
          <w:szCs w:val="28"/>
        </w:rPr>
      </w:pPr>
    </w:p>
    <w:p w:rsidR="00814D1F" w:rsidRPr="00E2744E" w:rsidRDefault="00814D1F" w:rsidP="00875737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b/>
          <w:color w:val="0D0D0D" w:themeColor="text1" w:themeTint="F2"/>
          <w:sz w:val="28"/>
          <w:szCs w:val="28"/>
        </w:rPr>
        <w:t xml:space="preserve"> 1</w:t>
      </w:r>
    </w:p>
    <w:p w:rsidR="00871EF0" w:rsidRPr="00E2744E" w:rsidRDefault="00814D1F" w:rsidP="00875737">
      <w:pPr>
        <w:tabs>
          <w:tab w:val="left" w:pos="142"/>
        </w:tabs>
        <w:autoSpaceDE w:val="0"/>
        <w:autoSpaceDN w:val="0"/>
        <w:ind w:right="-2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</w:p>
    <w:p w:rsidR="00FC196B" w:rsidRPr="00B6387C" w:rsidRDefault="00814D1F" w:rsidP="00B6387C">
      <w:pPr>
        <w:tabs>
          <w:tab w:val="left" w:pos="142"/>
        </w:tabs>
        <w:autoSpaceDE w:val="0"/>
        <w:autoSpaceDN w:val="0"/>
        <w:ind w:right="-2"/>
        <w:jc w:val="center"/>
        <w:rPr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b/>
          <w:color w:val="0D0D0D" w:themeColor="text1" w:themeTint="F2"/>
          <w:sz w:val="28"/>
          <w:szCs w:val="28"/>
        </w:rPr>
        <w:t>на приобретение услуг связи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969"/>
      </w:tblGrid>
      <w:tr w:rsidR="00E2744E" w:rsidRPr="00E2744E" w:rsidTr="004C7995">
        <w:trPr>
          <w:tblHeader/>
        </w:trPr>
        <w:tc>
          <w:tcPr>
            <w:tcW w:w="2660" w:type="dxa"/>
            <w:vAlign w:val="center"/>
          </w:tcPr>
          <w:p w:rsidR="00E6101C" w:rsidRPr="00E2744E" w:rsidRDefault="00E050A1" w:rsidP="00B178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Наименование 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связи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B178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Предельное количество почтовых отправлений, шт./месяц</w:t>
            </w:r>
          </w:p>
        </w:tc>
        <w:tc>
          <w:tcPr>
            <w:tcW w:w="3969" w:type="dxa"/>
            <w:vAlign w:val="center"/>
          </w:tcPr>
          <w:p w:rsidR="00E6101C" w:rsidRPr="00E2744E" w:rsidRDefault="00E6101C" w:rsidP="00B1782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</w:t>
            </w:r>
          </w:p>
          <w:p w:rsidR="00E6101C" w:rsidRPr="00E2744E" w:rsidRDefault="00F91CE4" w:rsidP="00B1782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руб.</w:t>
            </w:r>
          </w:p>
        </w:tc>
      </w:tr>
      <w:tr w:rsidR="00E2744E" w:rsidRPr="00E2744E" w:rsidTr="004B5B97">
        <w:trPr>
          <w:trHeight w:val="542"/>
        </w:trPr>
        <w:tc>
          <w:tcPr>
            <w:tcW w:w="2660" w:type="dxa"/>
          </w:tcPr>
          <w:p w:rsidR="00E6101C" w:rsidRPr="00E2744E" w:rsidRDefault="009D4942" w:rsidP="009D4942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Услуги 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почтовой связи</w:t>
            </w:r>
            <w:r w:rsidR="00A9118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:rsidR="00E6101C" w:rsidRPr="00E2744E" w:rsidRDefault="003C6986" w:rsidP="003C698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E6101C" w:rsidRPr="00E2744E" w:rsidRDefault="006D01F3" w:rsidP="003C698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3900</w:t>
            </w:r>
          </w:p>
        </w:tc>
      </w:tr>
      <w:tr w:rsidR="00E6101C" w:rsidRPr="00E2744E" w:rsidTr="004B5B97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660" w:type="dxa"/>
          </w:tcPr>
          <w:p w:rsidR="00E6101C" w:rsidRPr="00E2744E" w:rsidRDefault="00E6101C" w:rsidP="009D4942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Услуги спецсвязи</w:t>
            </w:r>
            <w:r w:rsidR="00A9118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**</w:t>
            </w:r>
          </w:p>
        </w:tc>
        <w:tc>
          <w:tcPr>
            <w:tcW w:w="2835" w:type="dxa"/>
          </w:tcPr>
          <w:p w:rsidR="00E6101C" w:rsidRPr="00E2744E" w:rsidRDefault="00A9118B" w:rsidP="004B5B97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E6101C" w:rsidRPr="00E2744E" w:rsidRDefault="00A9118B" w:rsidP="00B178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A9118B" w:rsidRDefault="00A9118B" w:rsidP="006D01F3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*Учреждение использует только универсальные (бесплатные) услуги почтовой связи.</w:t>
      </w:r>
      <w:r w:rsidR="006D01F3">
        <w:rPr>
          <w:color w:val="0D0D0D" w:themeColor="text1" w:themeTint="F2"/>
        </w:rPr>
        <w:t xml:space="preserve"> Предельная цена включает в себя расходы на покупку маркированных конвертов с литерой.</w:t>
      </w:r>
    </w:p>
    <w:p w:rsidR="00A9118B" w:rsidRPr="00A9118B" w:rsidRDefault="00A9118B" w:rsidP="00A9118B">
      <w:pPr>
        <w:rPr>
          <w:color w:val="0D0D0D" w:themeColor="text1" w:themeTint="F2"/>
        </w:rPr>
      </w:pPr>
      <w:r>
        <w:rPr>
          <w:color w:val="0D0D0D" w:themeColor="text1" w:themeTint="F2"/>
        </w:rPr>
        <w:t>** Услуги спецсвязи учреждением не используются</w:t>
      </w:r>
      <w:r w:rsidR="006D01F3">
        <w:rPr>
          <w:color w:val="0D0D0D" w:themeColor="text1" w:themeTint="F2"/>
        </w:rPr>
        <w:t>.</w:t>
      </w:r>
    </w:p>
    <w:p w:rsidR="00814D1F" w:rsidRPr="00E2744E" w:rsidRDefault="00814D1F" w:rsidP="00814D1F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b/>
          <w:color w:val="0D0D0D" w:themeColor="text1" w:themeTint="F2"/>
          <w:sz w:val="28"/>
          <w:szCs w:val="28"/>
        </w:rPr>
        <w:t xml:space="preserve"> 2</w:t>
      </w:r>
    </w:p>
    <w:p w:rsidR="00871EF0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</w:t>
      </w:r>
    </w:p>
    <w:p w:rsidR="00FC196B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затрат на абонентскую плату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694"/>
        <w:gridCol w:w="1842"/>
        <w:gridCol w:w="1418"/>
      </w:tblGrid>
      <w:tr w:rsidR="00E2744E" w:rsidRPr="00E2744E" w:rsidTr="00BA57E3">
        <w:tc>
          <w:tcPr>
            <w:tcW w:w="1951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</w:t>
            </w:r>
          </w:p>
        </w:tc>
        <w:tc>
          <w:tcPr>
            <w:tcW w:w="2694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информации, руб.</w:t>
            </w:r>
          </w:p>
        </w:tc>
        <w:tc>
          <w:tcPr>
            <w:tcW w:w="1842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418" w:type="dxa"/>
          </w:tcPr>
          <w:p w:rsidR="00621C93" w:rsidRPr="00E2744E" w:rsidRDefault="00E050A1" w:rsidP="00621C93">
            <w:pPr>
              <w:ind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Предельная </w:t>
            </w:r>
          </w:p>
          <w:p w:rsidR="00E050A1" w:rsidRPr="00E2744E" w:rsidRDefault="00333F24" w:rsidP="00621C93">
            <w:pPr>
              <w:ind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ц</w:t>
            </w:r>
            <w:r w:rsidR="00E050A1" w:rsidRPr="00E2744E">
              <w:rPr>
                <w:color w:val="0D0D0D" w:themeColor="text1" w:themeTint="F2"/>
              </w:rPr>
              <w:t>ена</w:t>
            </w:r>
            <w:r w:rsidRPr="00E2744E">
              <w:rPr>
                <w:color w:val="0D0D0D" w:themeColor="text1" w:themeTint="F2"/>
              </w:rPr>
              <w:t>,</w:t>
            </w:r>
            <w:r w:rsidR="00E050A1" w:rsidRPr="00E2744E">
              <w:rPr>
                <w:color w:val="0D0D0D" w:themeColor="text1" w:themeTint="F2"/>
              </w:rPr>
              <w:t xml:space="preserve"> </w:t>
            </w:r>
          </w:p>
          <w:p w:rsidR="00E050A1" w:rsidRPr="00E2744E" w:rsidRDefault="00E050A1" w:rsidP="00621C9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руб.</w:t>
            </w:r>
          </w:p>
          <w:p w:rsidR="00E050A1" w:rsidRPr="00E2744E" w:rsidRDefault="00E050A1" w:rsidP="00E050A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BA57E3">
        <w:trPr>
          <w:trHeight w:val="1792"/>
        </w:trPr>
        <w:tc>
          <w:tcPr>
            <w:tcW w:w="1951" w:type="dxa"/>
          </w:tcPr>
          <w:p w:rsidR="00E050A1" w:rsidRPr="00E2744E" w:rsidRDefault="00E050A1" w:rsidP="0063440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Затраты на абонентскую плату основных тел</w:t>
            </w:r>
            <w:r w:rsidR="006D01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ефонных соединений (ПАО </w:t>
            </w:r>
            <w:proofErr w:type="spellStart"/>
            <w:r w:rsidR="006D01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Вымпелком</w:t>
            </w:r>
            <w:proofErr w:type="spellEnd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E050A1" w:rsidRPr="00E2744E" w:rsidRDefault="00A9118B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E050A1" w:rsidRPr="00E2744E" w:rsidRDefault="006D01F3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36</w:t>
            </w:r>
            <w:r w:rsidR="00E050A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621C93" w:rsidRPr="00E2744E" w:rsidRDefault="00621C93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</w:p>
          <w:p w:rsidR="00E050A1" w:rsidRPr="00E2744E" w:rsidRDefault="006D01F3" w:rsidP="00A9660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A966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00</w:t>
            </w:r>
            <w:r w:rsidR="00E050A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</w:tbl>
    <w:p w:rsidR="006E4D26" w:rsidRDefault="006E4D26" w:rsidP="004C7995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6E4D26" w:rsidRDefault="006E4D26" w:rsidP="004C7995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814D1F" w:rsidP="004C7995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Таблица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</w:t>
      </w:r>
    </w:p>
    <w:p w:rsidR="00FC196B" w:rsidRPr="00B6387C" w:rsidRDefault="00814D1F" w:rsidP="00B6387C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на повременную оплату межд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угородних телефонных соединений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E2744E" w:rsidRPr="00E2744E" w:rsidTr="009D4942">
        <w:tc>
          <w:tcPr>
            <w:tcW w:w="5070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4500" w:type="dxa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Затраты на повременную оплату междугородних телефонных соединений</w:t>
            </w:r>
          </w:p>
        </w:tc>
      </w:tr>
      <w:tr w:rsidR="00E2744E" w:rsidRPr="00E2744E" w:rsidTr="009D4942">
        <w:tc>
          <w:tcPr>
            <w:tcW w:w="5070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</w:t>
            </w:r>
          </w:p>
        </w:tc>
        <w:tc>
          <w:tcPr>
            <w:tcW w:w="4500" w:type="dxa"/>
            <w:vAlign w:val="center"/>
          </w:tcPr>
          <w:p w:rsidR="00E050A1" w:rsidRPr="00E2744E" w:rsidRDefault="006D01F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E2744E" w:rsidRPr="00E2744E" w:rsidTr="009D4942">
        <w:tc>
          <w:tcPr>
            <w:tcW w:w="5070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 с выходом на междугороднюю связь</w:t>
            </w:r>
          </w:p>
        </w:tc>
        <w:tc>
          <w:tcPr>
            <w:tcW w:w="4500" w:type="dxa"/>
            <w:vAlign w:val="center"/>
          </w:tcPr>
          <w:p w:rsidR="00E050A1" w:rsidRPr="00E2744E" w:rsidRDefault="006D01F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E2744E" w:rsidRPr="00E2744E" w:rsidTr="009D4942">
        <w:tc>
          <w:tcPr>
            <w:tcW w:w="5070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Продолжительность междугородних телефонных соединений в месяц в расчете на 1 телефонный номер голосовой связи, мин.</w:t>
            </w:r>
          </w:p>
        </w:tc>
        <w:tc>
          <w:tcPr>
            <w:tcW w:w="4500" w:type="dxa"/>
            <w:vAlign w:val="center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≈3,8</w:t>
            </w:r>
          </w:p>
        </w:tc>
      </w:tr>
      <w:tr w:rsidR="00E2744E" w:rsidRPr="00E2744E" w:rsidTr="009D4942">
        <w:tc>
          <w:tcPr>
            <w:tcW w:w="5070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Цена междугородних соединений в месяц в расчете   на 1 телефон</w:t>
            </w:r>
            <w:r w:rsidR="00621C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ный номер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голосовой связи, руб.</w:t>
            </w:r>
          </w:p>
        </w:tc>
        <w:tc>
          <w:tcPr>
            <w:tcW w:w="4500" w:type="dxa"/>
            <w:vAlign w:val="center"/>
          </w:tcPr>
          <w:p w:rsidR="00621C93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</w:p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270</w:t>
            </w:r>
          </w:p>
        </w:tc>
      </w:tr>
      <w:tr w:rsidR="00E2744E" w:rsidRPr="00E2744E" w:rsidTr="009D4942">
        <w:tc>
          <w:tcPr>
            <w:tcW w:w="5070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месяцев предоставления услуги междугородней телефонной связи</w:t>
            </w:r>
          </w:p>
        </w:tc>
        <w:tc>
          <w:tcPr>
            <w:tcW w:w="4500" w:type="dxa"/>
            <w:vAlign w:val="center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:rsidR="00E050A1" w:rsidRPr="00E2744E" w:rsidTr="009D4942">
        <w:trPr>
          <w:trHeight w:val="299"/>
        </w:trPr>
        <w:tc>
          <w:tcPr>
            <w:tcW w:w="5070" w:type="dxa"/>
          </w:tcPr>
          <w:p w:rsidR="00E050A1" w:rsidRPr="00E2744E" w:rsidRDefault="003C6986" w:rsidP="00621C93">
            <w:pPr>
              <w:ind w:left="-108"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 </w:t>
            </w:r>
            <w:r w:rsidR="00621C93" w:rsidRPr="00E2744E">
              <w:rPr>
                <w:color w:val="0D0D0D" w:themeColor="text1" w:themeTint="F2"/>
              </w:rPr>
              <w:t>Предельная цена,  руб.</w:t>
            </w:r>
          </w:p>
        </w:tc>
        <w:tc>
          <w:tcPr>
            <w:tcW w:w="4500" w:type="dxa"/>
            <w:vAlign w:val="center"/>
          </w:tcPr>
          <w:p w:rsidR="00E050A1" w:rsidRPr="00E2744E" w:rsidRDefault="006D01F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Не более 123 120 </w:t>
            </w:r>
          </w:p>
        </w:tc>
      </w:tr>
    </w:tbl>
    <w:p w:rsidR="00E6101C" w:rsidRPr="00E2744E" w:rsidRDefault="00E6101C" w:rsidP="00E6101C">
      <w:pPr>
        <w:jc w:val="both"/>
        <w:rPr>
          <w:color w:val="0D0D0D" w:themeColor="text1" w:themeTint="F2"/>
        </w:rPr>
      </w:pPr>
    </w:p>
    <w:p w:rsidR="00621C93" w:rsidRPr="00FC196B" w:rsidRDefault="00814D1F" w:rsidP="00FC196B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="0006203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</w:p>
    <w:p w:rsidR="00D971BC" w:rsidRPr="00E2744E" w:rsidRDefault="00814D1F" w:rsidP="00D971B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D971BC" w:rsidRPr="00E2744E" w:rsidRDefault="00814D1F" w:rsidP="00D971B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b/>
          <w:color w:val="0D0D0D" w:themeColor="text1" w:themeTint="F2"/>
          <w:sz w:val="28"/>
          <w:szCs w:val="28"/>
        </w:rPr>
        <w:t xml:space="preserve">приобретение вычислительной техники </w:t>
      </w:r>
    </w:p>
    <w:p w:rsidR="00D971BC" w:rsidRDefault="00E6101C" w:rsidP="00EB42C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и запасных частей для вычислительной техники</w:t>
      </w:r>
    </w:p>
    <w:tbl>
      <w:tblPr>
        <w:tblStyle w:val="a7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559"/>
        <w:gridCol w:w="2268"/>
      </w:tblGrid>
      <w:tr w:rsidR="00E2744E" w:rsidRPr="00E2744E" w:rsidTr="006E4D26">
        <w:trPr>
          <w:trHeight w:val="87"/>
          <w:tblHeader/>
        </w:trPr>
        <w:tc>
          <w:tcPr>
            <w:tcW w:w="851" w:type="dxa"/>
            <w:vAlign w:val="center"/>
          </w:tcPr>
          <w:p w:rsidR="00621C93" w:rsidRPr="00E2744E" w:rsidRDefault="00621C93" w:rsidP="009A219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№</w:t>
            </w:r>
          </w:p>
          <w:p w:rsidR="00621C93" w:rsidRPr="00E2744E" w:rsidRDefault="00621C93" w:rsidP="009A2190">
            <w:pPr>
              <w:spacing w:after="200"/>
              <w:jc w:val="center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п</w:t>
            </w:r>
            <w:proofErr w:type="gramEnd"/>
            <w:r w:rsidRPr="00E2744E">
              <w:rPr>
                <w:color w:val="0D0D0D" w:themeColor="text1" w:themeTint="F2"/>
              </w:rPr>
              <w:t>/п</w:t>
            </w:r>
          </w:p>
        </w:tc>
        <w:tc>
          <w:tcPr>
            <w:tcW w:w="4820" w:type="dxa"/>
            <w:vAlign w:val="center"/>
          </w:tcPr>
          <w:p w:rsidR="00621C93" w:rsidRPr="00E2744E" w:rsidRDefault="00621C93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621C93" w:rsidRPr="00E2744E" w:rsidRDefault="00621C93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vAlign w:val="center"/>
          </w:tcPr>
          <w:p w:rsidR="00621C93" w:rsidRPr="00E2744E" w:rsidRDefault="00621C93" w:rsidP="009A219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</w:tr>
      <w:tr w:rsidR="00E2744E" w:rsidRPr="00E2744E" w:rsidTr="006E4D26">
        <w:trPr>
          <w:trHeight w:val="85"/>
        </w:trPr>
        <w:tc>
          <w:tcPr>
            <w:tcW w:w="851" w:type="dxa"/>
            <w:vAlign w:val="center"/>
          </w:tcPr>
          <w:p w:rsidR="00621C93" w:rsidRPr="00E2744E" w:rsidRDefault="00621C93" w:rsidP="00D971B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</w:t>
            </w:r>
          </w:p>
        </w:tc>
        <w:tc>
          <w:tcPr>
            <w:tcW w:w="4820" w:type="dxa"/>
          </w:tcPr>
          <w:p w:rsidR="00621C93" w:rsidRPr="00E2744E" w:rsidRDefault="00D971BC" w:rsidP="009A2190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Многофункциональные </w:t>
            </w:r>
            <w:r w:rsidR="009A2190" w:rsidRPr="00E2744E">
              <w:rPr>
                <w:color w:val="0D0D0D" w:themeColor="text1" w:themeTint="F2"/>
              </w:rPr>
              <w:t>устройства А4</w:t>
            </w:r>
          </w:p>
        </w:tc>
        <w:tc>
          <w:tcPr>
            <w:tcW w:w="1559" w:type="dxa"/>
            <w:vAlign w:val="center"/>
          </w:tcPr>
          <w:p w:rsidR="00621C93" w:rsidRPr="00E2744E" w:rsidRDefault="00062038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21C93" w:rsidRPr="00E2744E" w:rsidRDefault="00062038" w:rsidP="009A2190">
            <w:pPr>
              <w:pStyle w:val="ConsPlusNormal"/>
              <w:tabs>
                <w:tab w:val="left" w:pos="1910"/>
              </w:tabs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32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</w:t>
            </w:r>
          </w:p>
        </w:tc>
      </w:tr>
      <w:tr w:rsidR="00062038" w:rsidRPr="00E2744E" w:rsidTr="006E4D26">
        <w:trPr>
          <w:trHeight w:val="85"/>
        </w:trPr>
        <w:tc>
          <w:tcPr>
            <w:tcW w:w="851" w:type="dxa"/>
            <w:vAlign w:val="center"/>
          </w:tcPr>
          <w:p w:rsidR="00062038" w:rsidRPr="00E2744E" w:rsidRDefault="00062038" w:rsidP="00D971B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4820" w:type="dxa"/>
          </w:tcPr>
          <w:p w:rsidR="00062038" w:rsidRPr="00E2744E" w:rsidRDefault="00062038" w:rsidP="009A2190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Телевизор</w:t>
            </w:r>
          </w:p>
        </w:tc>
        <w:tc>
          <w:tcPr>
            <w:tcW w:w="1559" w:type="dxa"/>
            <w:vAlign w:val="center"/>
          </w:tcPr>
          <w:p w:rsidR="00062038" w:rsidRDefault="00062038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62038" w:rsidRDefault="00062038" w:rsidP="009A2190">
            <w:pPr>
              <w:pStyle w:val="ConsPlusNormal"/>
              <w:tabs>
                <w:tab w:val="left" w:pos="1910"/>
              </w:tabs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33 000</w:t>
            </w:r>
          </w:p>
        </w:tc>
      </w:tr>
      <w:tr w:rsidR="00E2744E" w:rsidRPr="00E2744E" w:rsidTr="006E4D26">
        <w:tc>
          <w:tcPr>
            <w:tcW w:w="851" w:type="dxa"/>
            <w:vAlign w:val="center"/>
          </w:tcPr>
          <w:p w:rsidR="00621C93" w:rsidRPr="00E2744E" w:rsidRDefault="00062038" w:rsidP="00D971B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4820" w:type="dxa"/>
          </w:tcPr>
          <w:p w:rsidR="00621C93" w:rsidRPr="00E2744E" w:rsidRDefault="00062038" w:rsidP="0006203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Полотно</w:t>
            </w:r>
            <w:r w:rsidR="00D971BC" w:rsidRPr="00E2744E">
              <w:rPr>
                <w:color w:val="0D0D0D" w:themeColor="text1" w:themeTint="F2"/>
              </w:rPr>
              <w:t xml:space="preserve"> для проектора </w:t>
            </w:r>
          </w:p>
        </w:tc>
        <w:tc>
          <w:tcPr>
            <w:tcW w:w="1559" w:type="dxa"/>
            <w:vAlign w:val="center"/>
          </w:tcPr>
          <w:p w:rsidR="00621C93" w:rsidRPr="00E2744E" w:rsidRDefault="00621C93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21C93" w:rsidRPr="00E2744E" w:rsidRDefault="00243681" w:rsidP="0024368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10 </w:t>
            </w:r>
            <w:r w:rsidR="00621C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  <w:tr w:rsidR="00E2744E" w:rsidRPr="00E2744E" w:rsidTr="006E4D26">
        <w:tc>
          <w:tcPr>
            <w:tcW w:w="851" w:type="dxa"/>
            <w:vAlign w:val="center"/>
          </w:tcPr>
          <w:p w:rsidR="009A2190" w:rsidRPr="00E2744E" w:rsidRDefault="00062038" w:rsidP="00D971B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4820" w:type="dxa"/>
          </w:tcPr>
          <w:p w:rsidR="009A2190" w:rsidRPr="00E2744E" w:rsidRDefault="009A2190" w:rsidP="00D971B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Проектор переносной короткофокусный</w:t>
            </w:r>
          </w:p>
        </w:tc>
        <w:tc>
          <w:tcPr>
            <w:tcW w:w="1559" w:type="dxa"/>
            <w:vAlign w:val="center"/>
          </w:tcPr>
          <w:p w:rsidR="009A2190" w:rsidRPr="00E2744E" w:rsidRDefault="009A2190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A2190" w:rsidRPr="00E2744E" w:rsidRDefault="00062038" w:rsidP="0024368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0 000</w:t>
            </w:r>
          </w:p>
        </w:tc>
      </w:tr>
      <w:tr w:rsidR="00216C90" w:rsidRPr="00E2744E" w:rsidTr="006E4D26">
        <w:tc>
          <w:tcPr>
            <w:tcW w:w="851" w:type="dxa"/>
            <w:vAlign w:val="center"/>
          </w:tcPr>
          <w:p w:rsidR="00216C90" w:rsidRDefault="00216C90" w:rsidP="00D971B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4820" w:type="dxa"/>
          </w:tcPr>
          <w:p w:rsidR="00216C90" w:rsidRPr="00E2744E" w:rsidRDefault="00216C90" w:rsidP="00D971BC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Принтер</w:t>
            </w:r>
          </w:p>
        </w:tc>
        <w:tc>
          <w:tcPr>
            <w:tcW w:w="1559" w:type="dxa"/>
            <w:vAlign w:val="center"/>
          </w:tcPr>
          <w:p w:rsidR="00216C90" w:rsidRPr="00E2744E" w:rsidRDefault="00216C90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16C90" w:rsidRDefault="00216C90" w:rsidP="0024368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32 000</w:t>
            </w:r>
          </w:p>
        </w:tc>
      </w:tr>
    </w:tbl>
    <w:p w:rsidR="00AC68A4" w:rsidRDefault="00AC68A4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 </w:t>
      </w:r>
      <w:r w:rsidR="00FC196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</w:p>
    <w:p w:rsidR="00871EF0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6101C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на приобретение мебели</w:t>
      </w: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851"/>
        <w:gridCol w:w="3969"/>
        <w:gridCol w:w="4678"/>
      </w:tblGrid>
      <w:tr w:rsidR="00E2744E" w:rsidRPr="00E2744E" w:rsidTr="006E4D26">
        <w:trPr>
          <w:trHeight w:val="377"/>
          <w:tblHeader/>
        </w:trPr>
        <w:tc>
          <w:tcPr>
            <w:tcW w:w="851" w:type="dxa"/>
            <w:shd w:val="clear" w:color="auto" w:fill="auto"/>
          </w:tcPr>
          <w:p w:rsidR="00D971BC" w:rsidRPr="00E2744E" w:rsidRDefault="00D971BC" w:rsidP="009D4942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№</w:t>
            </w:r>
            <w:r w:rsidR="009D4942">
              <w:rPr>
                <w:color w:val="0D0D0D" w:themeColor="text1" w:themeTint="F2"/>
              </w:rPr>
              <w:t xml:space="preserve"> </w:t>
            </w:r>
            <w:proofErr w:type="gramStart"/>
            <w:r w:rsidRPr="00E2744E">
              <w:rPr>
                <w:color w:val="0D0D0D" w:themeColor="text1" w:themeTint="F2"/>
              </w:rPr>
              <w:t>п</w:t>
            </w:r>
            <w:proofErr w:type="gramEnd"/>
            <w:r w:rsidRPr="00E2744E">
              <w:rPr>
                <w:color w:val="0D0D0D" w:themeColor="text1" w:themeTint="F2"/>
              </w:rPr>
              <w:t>/п</w:t>
            </w:r>
          </w:p>
        </w:tc>
        <w:tc>
          <w:tcPr>
            <w:tcW w:w="3969" w:type="dxa"/>
            <w:vAlign w:val="center"/>
          </w:tcPr>
          <w:p w:rsidR="00D971BC" w:rsidRPr="00E2744E" w:rsidRDefault="00D971BC" w:rsidP="009D4942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1BC" w:rsidRPr="00E2744E" w:rsidRDefault="00D971BC" w:rsidP="009D4942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</w:tr>
      <w:tr w:rsidR="00E2744E" w:rsidRPr="00E2744E" w:rsidTr="006E4D26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D971BC" w:rsidRPr="00E2744E" w:rsidRDefault="00D971BC" w:rsidP="00112E0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</w:t>
            </w:r>
          </w:p>
        </w:tc>
        <w:tc>
          <w:tcPr>
            <w:tcW w:w="3969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Мебель офисная</w:t>
            </w:r>
            <w:r w:rsidR="00FC196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467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971BC" w:rsidRPr="00E2744E" w:rsidRDefault="009D4942" w:rsidP="006E4D2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50 000</w:t>
            </w:r>
          </w:p>
        </w:tc>
      </w:tr>
      <w:tr w:rsidR="00E2744E" w:rsidRPr="00E2744E" w:rsidTr="006E4D26">
        <w:trPr>
          <w:trHeight w:val="280"/>
        </w:trPr>
        <w:tc>
          <w:tcPr>
            <w:tcW w:w="851" w:type="dxa"/>
            <w:shd w:val="clear" w:color="auto" w:fill="auto"/>
          </w:tcPr>
          <w:p w:rsidR="00D971BC" w:rsidRPr="00E2744E" w:rsidRDefault="00FC196B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тумба </w:t>
            </w:r>
            <w:proofErr w:type="spell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467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971BC" w:rsidRPr="00E2744E" w:rsidRDefault="00D971BC" w:rsidP="006E4D26">
            <w:pPr>
              <w:spacing w:after="200"/>
              <w:jc w:val="center"/>
              <w:rPr>
                <w:color w:val="0D0D0D" w:themeColor="text1" w:themeTint="F2"/>
              </w:rPr>
            </w:pPr>
          </w:p>
        </w:tc>
      </w:tr>
      <w:tr w:rsidR="00E2744E" w:rsidRPr="00E2744E" w:rsidTr="006E4D26">
        <w:trPr>
          <w:trHeight w:val="171"/>
        </w:trPr>
        <w:tc>
          <w:tcPr>
            <w:tcW w:w="851" w:type="dxa"/>
            <w:shd w:val="clear" w:color="auto" w:fill="auto"/>
          </w:tcPr>
          <w:p w:rsidR="00D971BC" w:rsidRPr="00A031B9" w:rsidRDefault="00A031B9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стул офисный</w:t>
            </w:r>
          </w:p>
        </w:tc>
        <w:tc>
          <w:tcPr>
            <w:tcW w:w="467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971BC" w:rsidRPr="00E2744E" w:rsidRDefault="00D971BC" w:rsidP="006E4D26">
            <w:pPr>
              <w:spacing w:after="200"/>
              <w:jc w:val="center"/>
              <w:rPr>
                <w:color w:val="0D0D0D" w:themeColor="text1" w:themeTint="F2"/>
              </w:rPr>
            </w:pPr>
          </w:p>
        </w:tc>
      </w:tr>
      <w:tr w:rsidR="00E2744E" w:rsidRPr="00E2744E" w:rsidTr="006E4D26">
        <w:trPr>
          <w:trHeight w:val="189"/>
        </w:trPr>
        <w:tc>
          <w:tcPr>
            <w:tcW w:w="851" w:type="dxa"/>
            <w:shd w:val="clear" w:color="auto" w:fill="auto"/>
          </w:tcPr>
          <w:p w:rsidR="00D971BC" w:rsidRPr="00A031B9" w:rsidRDefault="00A031B9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закрытый</w:t>
            </w:r>
          </w:p>
        </w:tc>
        <w:tc>
          <w:tcPr>
            <w:tcW w:w="467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971BC" w:rsidRPr="00E2744E" w:rsidRDefault="00D971BC" w:rsidP="006E4D26">
            <w:pPr>
              <w:spacing w:after="200"/>
              <w:jc w:val="center"/>
              <w:rPr>
                <w:color w:val="0D0D0D" w:themeColor="text1" w:themeTint="F2"/>
              </w:rPr>
            </w:pPr>
          </w:p>
        </w:tc>
      </w:tr>
      <w:tr w:rsidR="00E2744E" w:rsidRPr="00E2744E" w:rsidTr="006E4D26">
        <w:trPr>
          <w:trHeight w:val="206"/>
        </w:trPr>
        <w:tc>
          <w:tcPr>
            <w:tcW w:w="851" w:type="dxa"/>
            <w:shd w:val="clear" w:color="auto" w:fill="auto"/>
          </w:tcPr>
          <w:p w:rsidR="00D971BC" w:rsidRPr="00A031B9" w:rsidRDefault="00A031B9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для одежды глубокий</w:t>
            </w:r>
          </w:p>
        </w:tc>
        <w:tc>
          <w:tcPr>
            <w:tcW w:w="467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971BC" w:rsidRPr="00E2744E" w:rsidRDefault="00D971BC" w:rsidP="006E4D26">
            <w:pPr>
              <w:spacing w:after="200"/>
              <w:jc w:val="center"/>
              <w:rPr>
                <w:color w:val="0D0D0D" w:themeColor="text1" w:themeTint="F2"/>
              </w:rPr>
            </w:pPr>
          </w:p>
        </w:tc>
      </w:tr>
      <w:tr w:rsidR="00E2744E" w:rsidRPr="00E2744E" w:rsidTr="006E4D26">
        <w:trPr>
          <w:trHeight w:val="243"/>
        </w:trPr>
        <w:tc>
          <w:tcPr>
            <w:tcW w:w="851" w:type="dxa"/>
            <w:shd w:val="clear" w:color="auto" w:fill="auto"/>
          </w:tcPr>
          <w:p w:rsidR="00D971BC" w:rsidRPr="00A031B9" w:rsidRDefault="00A031B9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стеллаж открытый</w:t>
            </w:r>
          </w:p>
        </w:tc>
        <w:tc>
          <w:tcPr>
            <w:tcW w:w="467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971BC" w:rsidRPr="00E2744E" w:rsidRDefault="00D971BC" w:rsidP="006E4D26">
            <w:pPr>
              <w:spacing w:after="200"/>
              <w:jc w:val="center"/>
              <w:rPr>
                <w:color w:val="0D0D0D" w:themeColor="text1" w:themeTint="F2"/>
              </w:rPr>
            </w:pPr>
          </w:p>
        </w:tc>
      </w:tr>
      <w:tr w:rsidR="00216C90" w:rsidRPr="00E2744E" w:rsidTr="006E4D26">
        <w:trPr>
          <w:trHeight w:val="87"/>
        </w:trPr>
        <w:tc>
          <w:tcPr>
            <w:tcW w:w="851" w:type="dxa"/>
            <w:shd w:val="clear" w:color="auto" w:fill="auto"/>
          </w:tcPr>
          <w:p w:rsidR="00216C90" w:rsidRPr="00A031B9" w:rsidRDefault="00A031B9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</w:tcPr>
          <w:p w:rsidR="00216C90" w:rsidRPr="00E2744E" w:rsidRDefault="00216C90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C90" w:rsidRPr="00E2744E" w:rsidRDefault="00216C90" w:rsidP="006E4D26">
            <w:pPr>
              <w:spacing w:after="200"/>
              <w:jc w:val="center"/>
              <w:rPr>
                <w:color w:val="0D0D0D" w:themeColor="text1" w:themeTint="F2"/>
              </w:rPr>
            </w:pPr>
          </w:p>
        </w:tc>
      </w:tr>
      <w:tr w:rsidR="00E2744E" w:rsidRPr="00E2744E" w:rsidTr="006E4D26">
        <w:trPr>
          <w:trHeight w:val="87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971BC" w:rsidRPr="00E2744E" w:rsidRDefault="00D971BC" w:rsidP="009D4942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Металлическая мебель</w:t>
            </w:r>
            <w:r w:rsidR="00FC196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467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971BC" w:rsidRPr="00E2744E" w:rsidRDefault="009D4942" w:rsidP="006E4D26">
            <w:pPr>
              <w:spacing w:after="20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30 000</w:t>
            </w:r>
          </w:p>
        </w:tc>
      </w:tr>
      <w:tr w:rsidR="00E2744E" w:rsidRPr="00E2744E" w:rsidTr="006E4D26">
        <w:trPr>
          <w:trHeight w:val="87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D971BC" w:rsidRPr="00E2744E" w:rsidRDefault="00FC196B" w:rsidP="00A4142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металлический</w:t>
            </w:r>
          </w:p>
        </w:tc>
        <w:tc>
          <w:tcPr>
            <w:tcW w:w="4678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6E4D26">
        <w:trPr>
          <w:trHeight w:val="87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2.2</w:t>
            </w:r>
          </w:p>
        </w:tc>
        <w:tc>
          <w:tcPr>
            <w:tcW w:w="3969" w:type="dxa"/>
          </w:tcPr>
          <w:p w:rsidR="00D971BC" w:rsidRPr="00E2744E" w:rsidRDefault="00D971BC" w:rsidP="00A4142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стеллаж</w:t>
            </w:r>
          </w:p>
        </w:tc>
        <w:tc>
          <w:tcPr>
            <w:tcW w:w="4678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9D4942">
        <w:trPr>
          <w:trHeight w:val="85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69" w:type="dxa"/>
          </w:tcPr>
          <w:p w:rsidR="00D971BC" w:rsidRPr="00E2744E" w:rsidRDefault="00FC196B" w:rsidP="00A4142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сейф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</w:tbl>
    <w:p w:rsidR="007A40A8" w:rsidRPr="00C956C4" w:rsidRDefault="007A40A8" w:rsidP="00875737">
      <w:pPr>
        <w:rPr>
          <w:b/>
          <w:color w:val="0D0D0D" w:themeColor="text1" w:themeTint="F2"/>
        </w:rPr>
      </w:pPr>
    </w:p>
    <w:p w:rsidR="00033E99" w:rsidRPr="00E2744E" w:rsidRDefault="00033E99" w:rsidP="00033E99">
      <w:pPr>
        <w:pStyle w:val="a3"/>
        <w:jc w:val="right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 xml:space="preserve">Таблица </w:t>
      </w:r>
      <w:r w:rsidR="00871EF0" w:rsidRPr="00E2744E">
        <w:rPr>
          <w:b/>
          <w:color w:val="0D0D0D" w:themeColor="text1" w:themeTint="F2"/>
          <w:sz w:val="28"/>
          <w:szCs w:val="28"/>
          <w:u w:val="none"/>
        </w:rPr>
        <w:t xml:space="preserve">№ </w:t>
      </w:r>
      <w:r w:rsidR="009E2854">
        <w:rPr>
          <w:b/>
          <w:color w:val="0D0D0D" w:themeColor="text1" w:themeTint="F2"/>
          <w:sz w:val="28"/>
          <w:szCs w:val="28"/>
          <w:u w:val="none"/>
        </w:rPr>
        <w:t>6</w:t>
      </w:r>
    </w:p>
    <w:p w:rsidR="00871EF0" w:rsidRPr="00E2744E" w:rsidRDefault="00033E99" w:rsidP="00871EF0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 xml:space="preserve">Нормативы, применяемые при расчете затрат на приобретение </w:t>
      </w:r>
    </w:p>
    <w:p w:rsidR="0048415B" w:rsidRPr="00B6387C" w:rsidRDefault="00033E99" w:rsidP="00B6387C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  <w:lang w:val="en-US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>бытовой и вычислительной техники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2585"/>
        <w:gridCol w:w="3085"/>
      </w:tblGrid>
      <w:tr w:rsidR="00E2744E" w:rsidRPr="00E2744E" w:rsidTr="007A40A8">
        <w:tc>
          <w:tcPr>
            <w:tcW w:w="3794" w:type="dxa"/>
            <w:vAlign w:val="center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Наименование техники</w:t>
            </w:r>
          </w:p>
        </w:tc>
        <w:tc>
          <w:tcPr>
            <w:tcW w:w="2585" w:type="dxa"/>
            <w:vAlign w:val="center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Количество</w:t>
            </w:r>
            <w:r w:rsidR="00112E08" w:rsidRPr="00E2744E">
              <w:rPr>
                <w:color w:val="0D0D0D" w:themeColor="text1" w:themeTint="F2"/>
                <w:sz w:val="24"/>
                <w:szCs w:val="24"/>
                <w:u w:val="none"/>
              </w:rPr>
              <w:t>, шт.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Предельная с</w:t>
            </w:r>
            <w:r w:rsidR="00D97222" w:rsidRPr="00E2744E">
              <w:rPr>
                <w:color w:val="0D0D0D" w:themeColor="text1" w:themeTint="F2"/>
                <w:sz w:val="24"/>
                <w:szCs w:val="24"/>
                <w:u w:val="none"/>
              </w:rPr>
              <w:t>т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оимость (не более), руб.</w:t>
            </w:r>
          </w:p>
        </w:tc>
      </w:tr>
      <w:tr w:rsidR="00E2744E" w:rsidRPr="00E2744E" w:rsidTr="007A40A8">
        <w:tc>
          <w:tcPr>
            <w:tcW w:w="3794" w:type="dxa"/>
          </w:tcPr>
          <w:p w:rsidR="00033E99" w:rsidRPr="00E2744E" w:rsidRDefault="00FC196B" w:rsidP="00A4142E">
            <w:pPr>
              <w:pStyle w:val="a3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Микрофон для конференций</w:t>
            </w:r>
          </w:p>
        </w:tc>
        <w:tc>
          <w:tcPr>
            <w:tcW w:w="2585" w:type="dxa"/>
          </w:tcPr>
          <w:p w:rsidR="00033E99" w:rsidRPr="00E2744E" w:rsidRDefault="00FC196B" w:rsidP="00A4142E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1</w:t>
            </w:r>
          </w:p>
        </w:tc>
        <w:tc>
          <w:tcPr>
            <w:tcW w:w="3085" w:type="dxa"/>
          </w:tcPr>
          <w:p w:rsidR="00033E99" w:rsidRPr="00E2744E" w:rsidRDefault="00FC196B" w:rsidP="00A4142E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10 000</w:t>
            </w:r>
          </w:p>
        </w:tc>
      </w:tr>
      <w:tr w:rsidR="007A40A8" w:rsidRPr="00E2744E" w:rsidTr="007A40A8">
        <w:tc>
          <w:tcPr>
            <w:tcW w:w="3794" w:type="dxa"/>
          </w:tcPr>
          <w:p w:rsidR="00033E99" w:rsidRPr="00E2744E" w:rsidRDefault="00033E99" w:rsidP="00A4142E">
            <w:pPr>
              <w:pStyle w:val="a3"/>
              <w:spacing w:line="276" w:lineRule="auto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Офисный уничтожитель бумаг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033E99" w:rsidRPr="00E2744E" w:rsidRDefault="00FC196B" w:rsidP="00A4142E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1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33E99" w:rsidRPr="00E2744E" w:rsidRDefault="00FC196B" w:rsidP="00A4142E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14</w:t>
            </w:r>
            <w:r w:rsidR="00033E99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000</w:t>
            </w:r>
          </w:p>
        </w:tc>
      </w:tr>
    </w:tbl>
    <w:p w:rsidR="00FC196B" w:rsidRPr="00E2744E" w:rsidRDefault="00FC196B" w:rsidP="0048415B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</w:t>
      </w:r>
      <w:r w:rsidR="00112E08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E285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7</w:t>
      </w:r>
    </w:p>
    <w:p w:rsidR="00875737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112E08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b/>
          <w:color w:val="0D0D0D" w:themeColor="text1" w:themeTint="F2"/>
          <w:sz w:val="28"/>
          <w:szCs w:val="28"/>
        </w:rPr>
        <w:t xml:space="preserve">приобретение материальных запасов </w:t>
      </w:r>
    </w:p>
    <w:p w:rsidR="00D0654A" w:rsidRPr="00225E04" w:rsidRDefault="00112E08" w:rsidP="00B6387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в сфере </w:t>
      </w:r>
      <w:r w:rsidR="00E6101C" w:rsidRPr="00E2744E">
        <w:rPr>
          <w:b/>
          <w:color w:val="0D0D0D" w:themeColor="text1" w:themeTint="F2"/>
          <w:sz w:val="28"/>
          <w:szCs w:val="28"/>
        </w:rPr>
        <w:t>информационно-коммуникационных технологий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E2744E" w:rsidRPr="00E2744E" w:rsidTr="007A40A8">
        <w:trPr>
          <w:trHeight w:val="467"/>
        </w:trPr>
        <w:tc>
          <w:tcPr>
            <w:tcW w:w="4928" w:type="dxa"/>
            <w:vAlign w:val="center"/>
          </w:tcPr>
          <w:p w:rsidR="00413DF7" w:rsidRPr="00E2744E" w:rsidRDefault="00413DF7" w:rsidP="00C34A25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:rsidR="00413DF7" w:rsidRPr="00E2744E" w:rsidRDefault="00413DF7" w:rsidP="00413DF7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</w:tr>
      <w:tr w:rsidR="00E2744E" w:rsidRPr="00E2744E" w:rsidTr="00642AFC">
        <w:trPr>
          <w:trHeight w:val="94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Сетевой фильтр</w:t>
            </w:r>
          </w:p>
        </w:tc>
        <w:tc>
          <w:tcPr>
            <w:tcW w:w="4536" w:type="dxa"/>
            <w:vMerge w:val="restart"/>
            <w:vAlign w:val="center"/>
          </w:tcPr>
          <w:p w:rsidR="00413DF7" w:rsidRPr="00642AFC" w:rsidRDefault="00642AFC" w:rsidP="00642AFC">
            <w:pPr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100 000</w:t>
            </w:r>
          </w:p>
          <w:p w:rsidR="00413DF7" w:rsidRPr="00E2744E" w:rsidRDefault="00413DF7" w:rsidP="00642AF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есткий диск, 1 TБ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Мышь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Клавиатура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Удлинитель USB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116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Внешний жесткий диск, 1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ТБ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USB 3.0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Внешний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привод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DVD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USB-накопитель, 8 Г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7A40A8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D0654A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Картриджи для МФУ и принтеров 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C34A25" w:rsidRPr="00E2744E" w:rsidRDefault="00C34A25" w:rsidP="00C34A25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</w:t>
      </w:r>
      <w:r w:rsidR="00C34A25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E285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</w:t>
      </w:r>
    </w:p>
    <w:p w:rsidR="00875737" w:rsidRPr="00E2744E" w:rsidRDefault="00814D1F" w:rsidP="00875737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44B1A" w:rsidRPr="00B6387C" w:rsidRDefault="00814D1F" w:rsidP="00B6387C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приобретение к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анцелярских принадлежностей и бу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984"/>
        <w:gridCol w:w="1985"/>
      </w:tblGrid>
      <w:tr w:rsidR="00E2744E" w:rsidRPr="00E2744E" w:rsidTr="007A40A8">
        <w:trPr>
          <w:tblHeader/>
        </w:trPr>
        <w:tc>
          <w:tcPr>
            <w:tcW w:w="3510" w:type="dxa"/>
            <w:vAlign w:val="center"/>
          </w:tcPr>
          <w:p w:rsidR="00E6101C" w:rsidRPr="00E2744E" w:rsidRDefault="00E6101C" w:rsidP="00F91CE4">
            <w:pPr>
              <w:pStyle w:val="ConsPlusNonformat"/>
              <w:widowControl/>
              <w:tabs>
                <w:tab w:val="right" w:pos="2175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E6101C" w:rsidRPr="00E2744E" w:rsidRDefault="00E6101C" w:rsidP="00F91C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 закупки</w:t>
            </w:r>
          </w:p>
        </w:tc>
        <w:tc>
          <w:tcPr>
            <w:tcW w:w="1984" w:type="dxa"/>
            <w:vAlign w:val="center"/>
          </w:tcPr>
          <w:p w:rsidR="00E6101C" w:rsidRPr="00E2744E" w:rsidRDefault="00E6101C" w:rsidP="00F91C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Количество </w:t>
            </w:r>
            <w:proofErr w:type="spell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сотрудников</w:t>
            </w:r>
            <w:proofErr w:type="gramStart"/>
            <w:r w:rsidR="007A40A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</w:t>
            </w:r>
            <w:proofErr w:type="gramEnd"/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ел</w:t>
            </w:r>
            <w:proofErr w:type="spellEnd"/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</w:t>
            </w:r>
          </w:p>
          <w:p w:rsidR="00E6101C" w:rsidRPr="00E2744E" w:rsidRDefault="00F91CE4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E2744E" w:rsidRPr="00E2744E" w:rsidTr="007A40A8">
        <w:tc>
          <w:tcPr>
            <w:tcW w:w="3510" w:type="dxa"/>
          </w:tcPr>
          <w:p w:rsidR="00E6101C" w:rsidRPr="00E2744E" w:rsidRDefault="00E6101C" w:rsidP="00A4142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985" w:type="dxa"/>
          </w:tcPr>
          <w:p w:rsidR="00E6101C" w:rsidRPr="00E2744E" w:rsidRDefault="00E6101C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E6101C" w:rsidRPr="00E2744E" w:rsidRDefault="00D0654A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6101C" w:rsidRPr="00E2744E" w:rsidRDefault="00940EDD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125</w:t>
            </w:r>
            <w:r w:rsidR="00E44B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</w:t>
            </w:r>
          </w:p>
        </w:tc>
      </w:tr>
      <w:tr w:rsidR="007A40A8" w:rsidRPr="00E2744E" w:rsidTr="007A40A8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3510" w:type="dxa"/>
          </w:tcPr>
          <w:p w:rsidR="00E6101C" w:rsidRPr="00E2744E" w:rsidRDefault="00E6101C" w:rsidP="00A4142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Бумага</w:t>
            </w:r>
          </w:p>
        </w:tc>
        <w:tc>
          <w:tcPr>
            <w:tcW w:w="1985" w:type="dxa"/>
          </w:tcPr>
          <w:p w:rsidR="00E6101C" w:rsidRPr="00E2744E" w:rsidRDefault="00E6101C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E6101C" w:rsidRPr="00E2744E" w:rsidRDefault="00D0654A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6101C" w:rsidRPr="00E2744E" w:rsidRDefault="00607AE8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  <w:r w:rsidR="009E210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</w:tbl>
    <w:p w:rsidR="00A4142E" w:rsidRPr="00A4142E" w:rsidRDefault="00A4142E" w:rsidP="00A4142E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</w:t>
      </w:r>
      <w:r w:rsidR="00112E08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9</w:t>
      </w:r>
    </w:p>
    <w:p w:rsidR="00875737" w:rsidRPr="00E44B1A" w:rsidRDefault="00814D1F" w:rsidP="00E44B1A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44B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82F9A" w:rsidRPr="00E44B1A" w:rsidRDefault="00814D1F" w:rsidP="00A4142E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44B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44B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увеличение</w:t>
      </w:r>
      <w:r w:rsidR="00E44B1A" w:rsidRPr="00E44B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стоимости материальных затрат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E2744E" w:rsidRPr="00E2744E" w:rsidTr="00B6387C">
        <w:trPr>
          <w:tblHeader/>
        </w:trPr>
        <w:tc>
          <w:tcPr>
            <w:tcW w:w="5778" w:type="dxa"/>
          </w:tcPr>
          <w:p w:rsidR="00E6101C" w:rsidRPr="00E2744E" w:rsidRDefault="00E6101C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E6101C" w:rsidRPr="00E2744E" w:rsidRDefault="00E6101C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112E08" w:rsidRPr="00E2744E" w:rsidRDefault="00112E08" w:rsidP="00112E0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Предельная цена </w:t>
            </w:r>
          </w:p>
          <w:p w:rsidR="00E6101C" w:rsidRPr="00E2744E" w:rsidRDefault="00112E08" w:rsidP="00112E0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(не более), </w:t>
            </w:r>
            <w:r w:rsidR="00E6101C" w:rsidRPr="00E2744E">
              <w:rPr>
                <w:color w:val="0D0D0D" w:themeColor="text1" w:themeTint="F2"/>
              </w:rPr>
              <w:t>руб.</w:t>
            </w:r>
          </w:p>
        </w:tc>
      </w:tr>
      <w:tr w:rsidR="00E2744E" w:rsidRPr="00E2744E" w:rsidTr="00B6387C">
        <w:tc>
          <w:tcPr>
            <w:tcW w:w="5778" w:type="dxa"/>
          </w:tcPr>
          <w:p w:rsidR="00E6101C" w:rsidRPr="00E2744E" w:rsidRDefault="00E6101C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Визитки</w:t>
            </w:r>
          </w:p>
        </w:tc>
        <w:tc>
          <w:tcPr>
            <w:tcW w:w="1560" w:type="dxa"/>
          </w:tcPr>
          <w:p w:rsidR="00E6101C" w:rsidRPr="00E2744E" w:rsidRDefault="00E82F9A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E6101C" w:rsidRPr="00E2744E" w:rsidRDefault="00E82F9A" w:rsidP="00607AE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607A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</w:t>
            </w:r>
          </w:p>
        </w:tc>
      </w:tr>
      <w:tr w:rsidR="00E2744E" w:rsidRPr="00E2744E" w:rsidTr="00B6387C">
        <w:trPr>
          <w:trHeight w:val="70"/>
        </w:trPr>
        <w:tc>
          <w:tcPr>
            <w:tcW w:w="5778" w:type="dxa"/>
          </w:tcPr>
          <w:p w:rsidR="00E6101C" w:rsidRPr="00E2744E" w:rsidRDefault="00E6101C" w:rsidP="00243681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Папк</w:t>
            </w:r>
            <w:r w:rsidR="00E44B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 для бумаг</w:t>
            </w:r>
          </w:p>
        </w:tc>
        <w:tc>
          <w:tcPr>
            <w:tcW w:w="1560" w:type="dxa"/>
          </w:tcPr>
          <w:p w:rsidR="00E6101C" w:rsidRPr="00E2744E" w:rsidRDefault="00E82F9A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E6101C" w:rsidRPr="00E2744E" w:rsidRDefault="00E82F9A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5 000</w:t>
            </w:r>
          </w:p>
        </w:tc>
      </w:tr>
      <w:tr w:rsidR="00E44B1A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E44B1A" w:rsidRPr="00E2744E" w:rsidRDefault="00E44B1A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Обложки для переплета (в упаковке)</w:t>
            </w:r>
          </w:p>
        </w:tc>
        <w:tc>
          <w:tcPr>
            <w:tcW w:w="1560" w:type="dxa"/>
          </w:tcPr>
          <w:p w:rsidR="00E44B1A" w:rsidRPr="00E2744E" w:rsidRDefault="003815A9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E44B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E44B1A" w:rsidRPr="00E2744E" w:rsidRDefault="003815A9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4 5</w:t>
            </w:r>
            <w:r w:rsidR="00E44B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</w:tr>
      <w:tr w:rsidR="00E44B1A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E44B1A" w:rsidRPr="00E2744E" w:rsidRDefault="00E44B1A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Пружины пластиковые для переплета (в упаковке)</w:t>
            </w:r>
          </w:p>
        </w:tc>
        <w:tc>
          <w:tcPr>
            <w:tcW w:w="1560" w:type="dxa"/>
          </w:tcPr>
          <w:p w:rsidR="00E44B1A" w:rsidRPr="00E2744E" w:rsidRDefault="00E44B1A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шт.</w:t>
            </w:r>
          </w:p>
        </w:tc>
        <w:tc>
          <w:tcPr>
            <w:tcW w:w="2126" w:type="dxa"/>
          </w:tcPr>
          <w:p w:rsidR="00E44B1A" w:rsidRPr="00E2744E" w:rsidRDefault="00E44B1A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2 000</w:t>
            </w:r>
          </w:p>
        </w:tc>
      </w:tr>
      <w:tr w:rsidR="00E44B1A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E44B1A" w:rsidRPr="00E2744E" w:rsidRDefault="00E44B1A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Файлы (упаковка)</w:t>
            </w:r>
          </w:p>
        </w:tc>
        <w:tc>
          <w:tcPr>
            <w:tcW w:w="1560" w:type="dxa"/>
          </w:tcPr>
          <w:p w:rsidR="00E44B1A" w:rsidRPr="00E2744E" w:rsidRDefault="00B3393F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E82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E44B1A" w:rsidRPr="00E2744E" w:rsidRDefault="00E44B1A" w:rsidP="00B3393F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 </w:t>
            </w:r>
            <w:r w:rsidR="00B339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</w:tr>
      <w:tr w:rsidR="00E44B1A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E44B1A" w:rsidRPr="00E2744E" w:rsidRDefault="00E44B1A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Рулон бумаги для пло</w:t>
            </w:r>
            <w:r w:rsidR="00E82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тера</w:t>
            </w:r>
          </w:p>
        </w:tc>
        <w:tc>
          <w:tcPr>
            <w:tcW w:w="1560" w:type="dxa"/>
          </w:tcPr>
          <w:p w:rsidR="00E44B1A" w:rsidRPr="00E2744E" w:rsidRDefault="00B3393F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E82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E44B1A" w:rsidRPr="00E2744E" w:rsidRDefault="00B3393F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2 500</w:t>
            </w:r>
          </w:p>
        </w:tc>
      </w:tr>
      <w:tr w:rsidR="003815A9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3815A9" w:rsidRDefault="003815A9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Блок для записей</w:t>
            </w:r>
          </w:p>
        </w:tc>
        <w:tc>
          <w:tcPr>
            <w:tcW w:w="1560" w:type="dxa"/>
          </w:tcPr>
          <w:p w:rsidR="003815A9" w:rsidRDefault="003815A9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9D494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3815A9" w:rsidRDefault="003815A9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1 600</w:t>
            </w:r>
          </w:p>
        </w:tc>
      </w:tr>
      <w:tr w:rsidR="00216C90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216C90" w:rsidRDefault="00216C90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Лампы люминесцентные и энергосберегающие</w:t>
            </w:r>
          </w:p>
        </w:tc>
        <w:tc>
          <w:tcPr>
            <w:tcW w:w="1560" w:type="dxa"/>
          </w:tcPr>
          <w:p w:rsidR="00216C90" w:rsidRDefault="00216C90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 шт.</w:t>
            </w:r>
          </w:p>
        </w:tc>
        <w:tc>
          <w:tcPr>
            <w:tcW w:w="2126" w:type="dxa"/>
          </w:tcPr>
          <w:p w:rsidR="00216C90" w:rsidRDefault="00216C90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6 000</w:t>
            </w:r>
          </w:p>
        </w:tc>
      </w:tr>
      <w:tr w:rsidR="00216C90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216C90" w:rsidRDefault="00216C90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Моющие товары </w:t>
            </w:r>
          </w:p>
        </w:tc>
        <w:tc>
          <w:tcPr>
            <w:tcW w:w="1560" w:type="dxa"/>
          </w:tcPr>
          <w:p w:rsidR="00216C90" w:rsidRDefault="00216C90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70 шт.</w:t>
            </w:r>
          </w:p>
        </w:tc>
        <w:tc>
          <w:tcPr>
            <w:tcW w:w="2126" w:type="dxa"/>
          </w:tcPr>
          <w:p w:rsidR="00216C90" w:rsidRDefault="00216C90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5 500</w:t>
            </w:r>
          </w:p>
        </w:tc>
      </w:tr>
      <w:tr w:rsidR="00216C90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216C90" w:rsidRDefault="00216C90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Огнетушители</w:t>
            </w:r>
          </w:p>
        </w:tc>
        <w:tc>
          <w:tcPr>
            <w:tcW w:w="1560" w:type="dxa"/>
          </w:tcPr>
          <w:p w:rsidR="00216C90" w:rsidRDefault="00216C90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шт.</w:t>
            </w:r>
          </w:p>
        </w:tc>
        <w:tc>
          <w:tcPr>
            <w:tcW w:w="2126" w:type="dxa"/>
          </w:tcPr>
          <w:p w:rsidR="00216C90" w:rsidRDefault="00216C90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1 600</w:t>
            </w:r>
          </w:p>
        </w:tc>
      </w:tr>
      <w:tr w:rsidR="00940EDD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940EDD" w:rsidRDefault="00940EDD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Картирджы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для принтеров</w:t>
            </w:r>
          </w:p>
        </w:tc>
        <w:tc>
          <w:tcPr>
            <w:tcW w:w="1560" w:type="dxa"/>
          </w:tcPr>
          <w:p w:rsidR="00940EDD" w:rsidRDefault="00940EDD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 шт.</w:t>
            </w:r>
          </w:p>
        </w:tc>
        <w:tc>
          <w:tcPr>
            <w:tcW w:w="2126" w:type="dxa"/>
          </w:tcPr>
          <w:p w:rsidR="00940EDD" w:rsidRDefault="00940EDD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85 000</w:t>
            </w:r>
          </w:p>
        </w:tc>
      </w:tr>
      <w:tr w:rsidR="00B3393F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B3393F" w:rsidRDefault="00B3393F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Клавиатуры</w:t>
            </w:r>
          </w:p>
        </w:tc>
        <w:tc>
          <w:tcPr>
            <w:tcW w:w="1560" w:type="dxa"/>
          </w:tcPr>
          <w:p w:rsidR="00B3393F" w:rsidRDefault="00B3393F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шт.</w:t>
            </w:r>
          </w:p>
        </w:tc>
        <w:tc>
          <w:tcPr>
            <w:tcW w:w="2126" w:type="dxa"/>
          </w:tcPr>
          <w:p w:rsidR="00B3393F" w:rsidRDefault="00B3393F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5 000</w:t>
            </w:r>
          </w:p>
        </w:tc>
      </w:tr>
      <w:tr w:rsidR="00B3393F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B3393F" w:rsidRDefault="00B3393F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Мыши компьютерные</w:t>
            </w:r>
          </w:p>
        </w:tc>
        <w:tc>
          <w:tcPr>
            <w:tcW w:w="1560" w:type="dxa"/>
          </w:tcPr>
          <w:p w:rsidR="00B3393F" w:rsidRPr="009D4942" w:rsidRDefault="00B3393F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9D494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9D494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B3393F" w:rsidRDefault="00B3393F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3 500</w:t>
            </w:r>
          </w:p>
        </w:tc>
      </w:tr>
    </w:tbl>
    <w:p w:rsidR="0048415B" w:rsidRDefault="0048415B" w:rsidP="00216C90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="001B716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0</w:t>
      </w:r>
    </w:p>
    <w:p w:rsidR="00E04358" w:rsidRPr="000A3F25" w:rsidRDefault="00814D1F" w:rsidP="008757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25">
        <w:rPr>
          <w:rFonts w:ascii="Times New Roman" w:hAnsi="Times New Roman" w:cs="Times New Roman"/>
          <w:b/>
          <w:sz w:val="28"/>
          <w:szCs w:val="28"/>
        </w:rPr>
        <w:t xml:space="preserve">Нормативы, применяемые при расчете нормативных затрат </w:t>
      </w:r>
    </w:p>
    <w:p w:rsidR="001B7166" w:rsidRPr="00B6387C" w:rsidRDefault="00814D1F" w:rsidP="00B638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2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6101C" w:rsidRPr="000A3F25">
        <w:rPr>
          <w:rFonts w:ascii="Times New Roman" w:hAnsi="Times New Roman" w:cs="Times New Roman"/>
          <w:b/>
          <w:sz w:val="28"/>
          <w:szCs w:val="28"/>
        </w:rPr>
        <w:t>оплату услуг по сопровож</w:t>
      </w:r>
      <w:r w:rsidR="00875737" w:rsidRPr="000A3F25">
        <w:rPr>
          <w:rFonts w:ascii="Times New Roman" w:hAnsi="Times New Roman" w:cs="Times New Roman"/>
          <w:b/>
          <w:sz w:val="28"/>
          <w:szCs w:val="28"/>
        </w:rPr>
        <w:t>дению справочно-правовых систем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1399"/>
        <w:gridCol w:w="1539"/>
        <w:gridCol w:w="2413"/>
      </w:tblGrid>
      <w:tr w:rsidR="00E2744E" w:rsidRPr="00E2744E" w:rsidTr="007A40A8">
        <w:tc>
          <w:tcPr>
            <w:tcW w:w="4219" w:type="dxa"/>
            <w:vAlign w:val="center"/>
          </w:tcPr>
          <w:p w:rsidR="00E6101C" w:rsidRPr="00E2744E" w:rsidRDefault="00E04358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1399" w:type="dxa"/>
            <w:vAlign w:val="center"/>
          </w:tcPr>
          <w:p w:rsidR="00E6101C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Тип установки</w:t>
            </w:r>
          </w:p>
        </w:tc>
        <w:tc>
          <w:tcPr>
            <w:tcW w:w="1539" w:type="dxa"/>
            <w:vAlign w:val="center"/>
          </w:tcPr>
          <w:p w:rsidR="00E6101C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Расчетный период</w:t>
            </w:r>
          </w:p>
        </w:tc>
        <w:tc>
          <w:tcPr>
            <w:tcW w:w="2413" w:type="dxa"/>
            <w:vAlign w:val="center"/>
          </w:tcPr>
          <w:p w:rsidR="004B5B97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за комплект</w:t>
            </w:r>
          </w:p>
          <w:p w:rsidR="00E6101C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E2744E" w:rsidRPr="00E2744E" w:rsidTr="007A40A8">
        <w:trPr>
          <w:trHeight w:val="501"/>
        </w:trPr>
        <w:tc>
          <w:tcPr>
            <w:tcW w:w="4219" w:type="dxa"/>
          </w:tcPr>
          <w:p w:rsidR="00E6101C" w:rsidRPr="00E2744E" w:rsidRDefault="00A96601" w:rsidP="00A96601">
            <w:pPr>
              <w:rPr>
                <w:color w:val="0D0D0D" w:themeColor="text1" w:themeTint="F2"/>
              </w:rPr>
            </w:pPr>
            <w:r w:rsidRPr="00A96601">
              <w:rPr>
                <w:color w:val="0D0D0D" w:themeColor="text1" w:themeTint="F2"/>
              </w:rPr>
              <w:t>Электронн</w:t>
            </w:r>
            <w:r>
              <w:rPr>
                <w:color w:val="0D0D0D" w:themeColor="text1" w:themeTint="F2"/>
              </w:rPr>
              <w:t>ый</w:t>
            </w:r>
            <w:r w:rsidRPr="00A96601">
              <w:rPr>
                <w:color w:val="0D0D0D" w:themeColor="text1" w:themeTint="F2"/>
              </w:rPr>
              <w:t xml:space="preserve"> периодическ</w:t>
            </w:r>
            <w:r>
              <w:rPr>
                <w:color w:val="0D0D0D" w:themeColor="text1" w:themeTint="F2"/>
              </w:rPr>
              <w:t>ий справочник</w:t>
            </w:r>
            <w:r w:rsidRPr="00A96601">
              <w:rPr>
                <w:color w:val="0D0D0D" w:themeColor="text1" w:themeTint="F2"/>
              </w:rPr>
              <w:t xml:space="preserve"> «Система ГАРАНТ»</w:t>
            </w:r>
          </w:p>
        </w:tc>
        <w:tc>
          <w:tcPr>
            <w:tcW w:w="1399" w:type="dxa"/>
            <w:vAlign w:val="center"/>
          </w:tcPr>
          <w:p w:rsidR="00E6101C" w:rsidRPr="00E2744E" w:rsidRDefault="00A96601" w:rsidP="00644959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Интернет-версия</w:t>
            </w:r>
          </w:p>
        </w:tc>
        <w:tc>
          <w:tcPr>
            <w:tcW w:w="1539" w:type="dxa"/>
            <w:vAlign w:val="center"/>
          </w:tcPr>
          <w:p w:rsidR="00E6101C" w:rsidRPr="00E2744E" w:rsidRDefault="00E6101C" w:rsidP="0064495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2413" w:type="dxa"/>
            <w:vAlign w:val="center"/>
          </w:tcPr>
          <w:p w:rsidR="00E6101C" w:rsidRPr="00A96601" w:rsidRDefault="00A96601" w:rsidP="00296EE8">
            <w:pPr>
              <w:ind w:right="176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32 000</w:t>
            </w:r>
          </w:p>
        </w:tc>
      </w:tr>
    </w:tbl>
    <w:p w:rsidR="007A40A8" w:rsidRPr="001B7166" w:rsidRDefault="007A40A8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0A3F25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</w:p>
    <w:p w:rsidR="00875737" w:rsidRPr="00E2744E" w:rsidRDefault="00814D1F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04358" w:rsidRPr="00E2744E" w:rsidRDefault="00243681" w:rsidP="00243681">
      <w:pPr>
        <w:pStyle w:val="ConsPlusNormal"/>
        <w:tabs>
          <w:tab w:val="left" w:pos="536"/>
          <w:tab w:val="center" w:pos="4677"/>
        </w:tabs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  <w:r w:rsidR="00814D1F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оплату услуг по сопровождению и приобретению </w:t>
      </w:r>
    </w:p>
    <w:p w:rsidR="00535498" w:rsidRPr="00B6387C" w:rsidRDefault="00E6101C" w:rsidP="00B6387C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иного програ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ммного обеспечения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1415"/>
        <w:gridCol w:w="1420"/>
      </w:tblGrid>
      <w:tr w:rsidR="00E2744E" w:rsidRPr="00E2744E" w:rsidTr="00866D9E">
        <w:trPr>
          <w:tblHeader/>
        </w:trPr>
        <w:tc>
          <w:tcPr>
            <w:tcW w:w="3652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программного обеспечения</w:t>
            </w:r>
          </w:p>
        </w:tc>
        <w:tc>
          <w:tcPr>
            <w:tcW w:w="2977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Характеристики</w:t>
            </w:r>
          </w:p>
        </w:tc>
        <w:tc>
          <w:tcPr>
            <w:tcW w:w="1415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Расчетный период</w:t>
            </w:r>
          </w:p>
        </w:tc>
        <w:tc>
          <w:tcPr>
            <w:tcW w:w="1420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</w:t>
            </w:r>
            <w:r w:rsidR="00795D96" w:rsidRPr="00E2744E">
              <w:rPr>
                <w:color w:val="0D0D0D" w:themeColor="text1" w:themeTint="F2"/>
              </w:rPr>
              <w:t>редельная цена (не более), руб.</w:t>
            </w:r>
          </w:p>
        </w:tc>
      </w:tr>
      <w:tr w:rsidR="000A3F25" w:rsidRPr="00E2744E" w:rsidTr="00866D9E">
        <w:tc>
          <w:tcPr>
            <w:tcW w:w="3652" w:type="dxa"/>
          </w:tcPr>
          <w:p w:rsidR="000A3F25" w:rsidRPr="000A3F25" w:rsidRDefault="000A3F25" w:rsidP="000A3F25">
            <w:pPr>
              <w:ind w:right="-108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Обслуживание программного обеспечения 1С</w:t>
            </w:r>
          </w:p>
        </w:tc>
        <w:tc>
          <w:tcPr>
            <w:tcW w:w="2977" w:type="dxa"/>
          </w:tcPr>
          <w:p w:rsidR="000A3F25" w:rsidRPr="00E2744E" w:rsidRDefault="000A3F25" w:rsidP="00886C0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415" w:type="dxa"/>
            <w:vAlign w:val="center"/>
          </w:tcPr>
          <w:p w:rsidR="000A3F25" w:rsidRPr="00E2744E" w:rsidRDefault="000A3F25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0A3F25" w:rsidRPr="00E2744E" w:rsidRDefault="000A3F25" w:rsidP="00296EE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</w:t>
            </w:r>
            <w:r w:rsidRPr="00E2744E">
              <w:rPr>
                <w:color w:val="0D0D0D" w:themeColor="text1" w:themeTint="F2"/>
              </w:rPr>
              <w:t> 000</w:t>
            </w:r>
          </w:p>
        </w:tc>
      </w:tr>
      <w:tr w:rsidR="000A3F25" w:rsidRPr="00E2744E" w:rsidTr="00866D9E">
        <w:tc>
          <w:tcPr>
            <w:tcW w:w="3652" w:type="dxa"/>
          </w:tcPr>
          <w:p w:rsidR="000A3F25" w:rsidRPr="00E2744E" w:rsidRDefault="000A3F25" w:rsidP="00886C06">
            <w:pPr>
              <w:ind w:right="-108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СБИС</w:t>
            </w:r>
            <w:r w:rsidR="00535498">
              <w:rPr>
                <w:color w:val="0D0D0D" w:themeColor="text1" w:themeTint="F2"/>
              </w:rPr>
              <w:t xml:space="preserve"> (с учетом ключа доступа)</w:t>
            </w:r>
          </w:p>
        </w:tc>
        <w:tc>
          <w:tcPr>
            <w:tcW w:w="2977" w:type="dxa"/>
          </w:tcPr>
          <w:p w:rsidR="000A3F25" w:rsidRPr="00E2744E" w:rsidRDefault="000A3F25" w:rsidP="00296EE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Программный продукт, предназначенный для </w:t>
            </w:r>
            <w:r w:rsidR="00535498">
              <w:rPr>
                <w:color w:val="0D0D0D" w:themeColor="text1" w:themeTint="F2"/>
              </w:rPr>
              <w:t>обмена документами</w:t>
            </w:r>
          </w:p>
        </w:tc>
        <w:tc>
          <w:tcPr>
            <w:tcW w:w="1415" w:type="dxa"/>
            <w:vAlign w:val="center"/>
          </w:tcPr>
          <w:p w:rsidR="000A3F25" w:rsidRPr="00E2744E" w:rsidRDefault="00535498" w:rsidP="007A40A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420" w:type="dxa"/>
            <w:vAlign w:val="center"/>
          </w:tcPr>
          <w:p w:rsidR="000A3F25" w:rsidRPr="00E2744E" w:rsidRDefault="00535498" w:rsidP="00296EE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6 000</w:t>
            </w:r>
          </w:p>
        </w:tc>
      </w:tr>
    </w:tbl>
    <w:p w:rsidR="003815A9" w:rsidRDefault="003815A9" w:rsidP="00D81125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</w:p>
    <w:p w:rsidR="00535498" w:rsidRPr="00B6387C" w:rsidRDefault="00814D1F" w:rsidP="00B6387C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 на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оплату услуг, связанных с обеспечением безопасности информации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276"/>
        <w:gridCol w:w="1405"/>
        <w:gridCol w:w="1430"/>
      </w:tblGrid>
      <w:tr w:rsidR="00E2744E" w:rsidRPr="00E2744E" w:rsidTr="00866D9E">
        <w:trPr>
          <w:tblHeader/>
        </w:trPr>
        <w:tc>
          <w:tcPr>
            <w:tcW w:w="2802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551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Характеристики</w:t>
            </w:r>
          </w:p>
        </w:tc>
        <w:tc>
          <w:tcPr>
            <w:tcW w:w="1276" w:type="dxa"/>
            <w:vAlign w:val="center"/>
          </w:tcPr>
          <w:p w:rsidR="00E6101C" w:rsidRPr="00E2744E" w:rsidRDefault="00E6101C" w:rsidP="00795D9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Расчетный период</w:t>
            </w:r>
          </w:p>
        </w:tc>
        <w:tc>
          <w:tcPr>
            <w:tcW w:w="1405" w:type="dxa"/>
            <w:vAlign w:val="center"/>
          </w:tcPr>
          <w:p w:rsidR="00E6101C" w:rsidRPr="00E2744E" w:rsidRDefault="00E6101C" w:rsidP="00FB4444">
            <w:pPr>
              <w:pStyle w:val="ConsPlusNormal"/>
              <w:ind w:left="-108" w:right="-1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Предельная цена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(не более), руб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430" w:type="dxa"/>
            <w:vAlign w:val="center"/>
          </w:tcPr>
          <w:p w:rsidR="00E6101C" w:rsidRPr="00E2744E" w:rsidRDefault="00E6101C" w:rsidP="00795D96">
            <w:pPr>
              <w:pStyle w:val="ConsPlusNormal"/>
              <w:ind w:left="-9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Примечание</w:t>
            </w:r>
          </w:p>
        </w:tc>
      </w:tr>
      <w:tr w:rsidR="00E2744E" w:rsidRPr="00E2744E" w:rsidTr="006E4D26">
        <w:trPr>
          <w:trHeight w:val="87"/>
        </w:trPr>
        <w:tc>
          <w:tcPr>
            <w:tcW w:w="2802" w:type="dxa"/>
          </w:tcPr>
          <w:p w:rsidR="00E6101C" w:rsidRPr="00E2744E" w:rsidRDefault="00E6101C" w:rsidP="006E4D26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Kaspersky 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Endpoint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Security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для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бизнеса</w:t>
            </w:r>
          </w:p>
        </w:tc>
        <w:tc>
          <w:tcPr>
            <w:tcW w:w="2551" w:type="dxa"/>
            <w:vAlign w:val="center"/>
          </w:tcPr>
          <w:p w:rsidR="00E6101C" w:rsidRPr="00E2744E" w:rsidRDefault="00E6101C" w:rsidP="00817672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Приобретение простых (неисключительных) лицензий на использование программного обеспечения по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защите информации</w:t>
            </w:r>
          </w:p>
        </w:tc>
        <w:tc>
          <w:tcPr>
            <w:tcW w:w="1276" w:type="dxa"/>
            <w:vAlign w:val="center"/>
          </w:tcPr>
          <w:p w:rsidR="00E6101C" w:rsidRPr="00E2744E" w:rsidRDefault="00E6101C" w:rsidP="00817672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405" w:type="dxa"/>
            <w:vAlign w:val="center"/>
          </w:tcPr>
          <w:p w:rsidR="00385136" w:rsidRPr="00E2744E" w:rsidRDefault="00535498" w:rsidP="0010337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7 800</w:t>
            </w:r>
          </w:p>
        </w:tc>
        <w:tc>
          <w:tcPr>
            <w:tcW w:w="1430" w:type="dxa"/>
          </w:tcPr>
          <w:p w:rsidR="00E6101C" w:rsidRPr="00E2744E" w:rsidRDefault="00103371" w:rsidP="00103371">
            <w:pPr>
              <w:pStyle w:val="ConsPlusNormal"/>
              <w:ind w:left="-9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более при наличии лимитов бюджетных обязательств</w:t>
            </w:r>
          </w:p>
        </w:tc>
      </w:tr>
    </w:tbl>
    <w:p w:rsidR="00875737" w:rsidRPr="00E2744E" w:rsidRDefault="00875737" w:rsidP="00535498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14D1F" w:rsidRPr="00E2744E" w:rsidRDefault="00033E99" w:rsidP="00875737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="0053549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</w:t>
      </w:r>
    </w:p>
    <w:p w:rsidR="00875737" w:rsidRPr="00E2744E" w:rsidRDefault="00814D1F" w:rsidP="007E67B9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  <w:r w:rsidR="007E67B9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приобретение образовательных услуг по профессиональной </w:t>
      </w:r>
    </w:p>
    <w:p w:rsidR="00535498" w:rsidRPr="00B6387C" w:rsidRDefault="00E6101C" w:rsidP="00B6387C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переподготовке и повышению квалификации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2693"/>
        <w:gridCol w:w="1843"/>
      </w:tblGrid>
      <w:tr w:rsidR="00E2744E" w:rsidRPr="00E2744E" w:rsidTr="00B6387C">
        <w:tc>
          <w:tcPr>
            <w:tcW w:w="4928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сотрудников в год</w:t>
            </w:r>
            <w:r w:rsidR="007E67B9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чел.</w:t>
            </w:r>
          </w:p>
        </w:tc>
        <w:tc>
          <w:tcPr>
            <w:tcW w:w="1843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Предельная цена</w:t>
            </w:r>
          </w:p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(не более), руб</w:t>
            </w:r>
            <w:r w:rsidR="000A49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E6101C" w:rsidRPr="00E2744E" w:rsidTr="00B6387C">
        <w:tc>
          <w:tcPr>
            <w:tcW w:w="4928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Повышение квалификации сотрудников</w:t>
            </w:r>
          </w:p>
        </w:tc>
        <w:tc>
          <w:tcPr>
            <w:tcW w:w="2693" w:type="dxa"/>
            <w:vAlign w:val="center"/>
          </w:tcPr>
          <w:p w:rsidR="00E6101C" w:rsidRPr="00474399" w:rsidRDefault="00535498" w:rsidP="0047439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  <w:r w:rsidR="004743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E6101C" w:rsidRPr="00E2744E" w:rsidRDefault="00474399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</w:t>
            </w:r>
            <w:r w:rsidR="0048415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0 000</w:t>
            </w:r>
          </w:p>
        </w:tc>
      </w:tr>
      <w:tr w:rsidR="0048415B" w:rsidRPr="00E2744E" w:rsidTr="00B6387C">
        <w:tc>
          <w:tcPr>
            <w:tcW w:w="4928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Обучение – семинар 1С</w:t>
            </w:r>
          </w:p>
        </w:tc>
        <w:tc>
          <w:tcPr>
            <w:tcW w:w="2693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Не более 1 </w:t>
            </w:r>
          </w:p>
        </w:tc>
        <w:tc>
          <w:tcPr>
            <w:tcW w:w="1843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7 200</w:t>
            </w:r>
          </w:p>
        </w:tc>
      </w:tr>
    </w:tbl>
    <w:p w:rsidR="00202061" w:rsidRDefault="00202061" w:rsidP="00202061">
      <w:pPr>
        <w:tabs>
          <w:tab w:val="left" w:pos="1073"/>
          <w:tab w:val="center" w:pos="4677"/>
          <w:tab w:val="right" w:pos="9354"/>
        </w:tabs>
        <w:jc w:val="right"/>
        <w:rPr>
          <w:b/>
          <w:sz w:val="28"/>
        </w:rPr>
      </w:pPr>
    </w:p>
    <w:p w:rsidR="00202061" w:rsidRPr="003F6ADD" w:rsidRDefault="00202061" w:rsidP="00202061">
      <w:pPr>
        <w:tabs>
          <w:tab w:val="left" w:pos="1073"/>
          <w:tab w:val="center" w:pos="4677"/>
          <w:tab w:val="right" w:pos="9354"/>
        </w:tabs>
        <w:jc w:val="right"/>
        <w:rPr>
          <w:b/>
          <w:sz w:val="28"/>
        </w:rPr>
      </w:pPr>
      <w:r>
        <w:rPr>
          <w:b/>
          <w:sz w:val="28"/>
        </w:rPr>
        <w:t>Таблица № 14</w:t>
      </w:r>
    </w:p>
    <w:p w:rsidR="00202061" w:rsidRDefault="00202061" w:rsidP="00202061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командирование работников</w:t>
      </w: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977"/>
        <w:gridCol w:w="6521"/>
      </w:tblGrid>
      <w:tr w:rsidR="00202061" w:rsidRPr="00677917" w:rsidTr="00B6387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061" w:rsidRPr="00677917" w:rsidRDefault="00202061" w:rsidP="001D0872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Категория должностей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061" w:rsidRPr="00677917" w:rsidRDefault="00202061" w:rsidP="001D0872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Требования</w:t>
            </w:r>
          </w:p>
        </w:tc>
      </w:tr>
      <w:tr w:rsidR="00202061" w:rsidRPr="00677917" w:rsidTr="00B6387C">
        <w:trPr>
          <w:trHeight w:val="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061" w:rsidRPr="00677917" w:rsidRDefault="00202061" w:rsidP="001D0872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Все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должности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061" w:rsidRPr="00B6387C" w:rsidRDefault="00202061" w:rsidP="00B6387C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Планируемая стоимость затрат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рассчитывается исходя из фактических расходов за отчетный финансовый год</w:t>
            </w:r>
          </w:p>
        </w:tc>
      </w:tr>
    </w:tbl>
    <w:p w:rsidR="00B6387C" w:rsidRPr="00B6387C" w:rsidRDefault="00B6387C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053DD" w:rsidRPr="00E2744E" w:rsidRDefault="005D1AB2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</w:p>
    <w:p w:rsidR="00875737" w:rsidRPr="00E2744E" w:rsidRDefault="00814D1F" w:rsidP="00875737">
      <w:pPr>
        <w:tabs>
          <w:tab w:val="left" w:pos="1316"/>
        </w:tabs>
        <w:jc w:val="center"/>
        <w:rPr>
          <w:b/>
          <w:color w:val="0D0D0D" w:themeColor="text1" w:themeTint="F2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</w:t>
      </w:r>
      <w:r w:rsidRPr="00E2744E">
        <w:rPr>
          <w:b/>
          <w:color w:val="0D0D0D" w:themeColor="text1" w:themeTint="F2"/>
          <w:sz w:val="28"/>
        </w:rPr>
        <w:t xml:space="preserve">нормативных затрат </w:t>
      </w:r>
    </w:p>
    <w:p w:rsidR="0048415B" w:rsidRPr="00B6387C" w:rsidRDefault="00814D1F" w:rsidP="00B6387C">
      <w:pPr>
        <w:tabs>
          <w:tab w:val="left" w:pos="1316"/>
        </w:tabs>
        <w:jc w:val="center"/>
        <w:rPr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b/>
          <w:color w:val="0D0D0D" w:themeColor="text1" w:themeTint="F2"/>
          <w:sz w:val="28"/>
          <w:szCs w:val="28"/>
        </w:rPr>
        <w:t>коммунальные услуги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2554"/>
      </w:tblGrid>
      <w:tr w:rsidR="00E2744E" w:rsidRPr="00E2744E" w:rsidTr="00B6387C">
        <w:trPr>
          <w:tblHeader/>
        </w:trPr>
        <w:tc>
          <w:tcPr>
            <w:tcW w:w="3085" w:type="dxa"/>
            <w:vAlign w:val="center"/>
          </w:tcPr>
          <w:p w:rsidR="00C34A25" w:rsidRPr="00E2744E" w:rsidRDefault="00C34A25" w:rsidP="004C7995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Объект</w:t>
            </w:r>
          </w:p>
        </w:tc>
        <w:tc>
          <w:tcPr>
            <w:tcW w:w="3827" w:type="dxa"/>
            <w:vAlign w:val="center"/>
          </w:tcPr>
          <w:p w:rsidR="00C34A25" w:rsidRPr="00E2744E" w:rsidRDefault="00866D9E" w:rsidP="00866D9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Расчетная потребност</w:t>
            </w:r>
            <w:proofErr w:type="gramStart"/>
            <w:r w:rsidRPr="00E2744E">
              <w:rPr>
                <w:color w:val="0D0D0D" w:themeColor="text1" w:themeTint="F2"/>
              </w:rPr>
              <w:t>ь</w:t>
            </w:r>
            <w:r w:rsidR="00394597" w:rsidRPr="00E2744E">
              <w:rPr>
                <w:color w:val="0D0D0D" w:themeColor="text1" w:themeTint="F2"/>
              </w:rPr>
              <w:t>(</w:t>
            </w:r>
            <w:proofErr w:type="gramEnd"/>
            <w:r w:rsidR="00394597" w:rsidRPr="00E2744E">
              <w:rPr>
                <w:color w:val="0D0D0D" w:themeColor="text1" w:themeTint="F2"/>
              </w:rPr>
              <w:t>не более)</w:t>
            </w:r>
          </w:p>
        </w:tc>
        <w:tc>
          <w:tcPr>
            <w:tcW w:w="2554" w:type="dxa"/>
            <w:vAlign w:val="center"/>
          </w:tcPr>
          <w:p w:rsidR="00C34A25" w:rsidRPr="00E2744E" w:rsidRDefault="00C34A25" w:rsidP="004C7995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Тариф (цена), руб.</w:t>
            </w:r>
          </w:p>
        </w:tc>
      </w:tr>
      <w:tr w:rsidR="00474399" w:rsidRPr="00E2744E" w:rsidTr="000A7BC7">
        <w:trPr>
          <w:trHeight w:val="1168"/>
        </w:trPr>
        <w:tc>
          <w:tcPr>
            <w:tcW w:w="3085" w:type="dxa"/>
          </w:tcPr>
          <w:p w:rsidR="00474399" w:rsidRPr="00E2744E" w:rsidRDefault="00474399" w:rsidP="004C799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МКУ Агентство управления проектами</w:t>
            </w:r>
            <w:r w:rsidRPr="00E2744E">
              <w:rPr>
                <w:color w:val="0D0D0D" w:themeColor="text1" w:themeTint="F2"/>
              </w:rPr>
              <w:t xml:space="preserve"> (нормативы, применяемые при расчете затрат на электроснабжение)</w:t>
            </w:r>
          </w:p>
        </w:tc>
        <w:tc>
          <w:tcPr>
            <w:tcW w:w="3827" w:type="dxa"/>
            <w:vAlign w:val="center"/>
          </w:tcPr>
          <w:p w:rsidR="00474399" w:rsidRPr="00E2744E" w:rsidRDefault="00474399" w:rsidP="004C7995">
            <w:pPr>
              <w:jc w:val="center"/>
              <w:rPr>
                <w:color w:val="0D0D0D" w:themeColor="text1" w:themeTint="F2"/>
              </w:rPr>
            </w:pPr>
          </w:p>
          <w:p w:rsidR="00474399" w:rsidRPr="00E2744E" w:rsidRDefault="00474399" w:rsidP="004C7995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 </w:t>
            </w:r>
            <w:r>
              <w:rPr>
                <w:color w:val="0D0D0D" w:themeColor="text1" w:themeTint="F2"/>
              </w:rPr>
              <w:t>13</w:t>
            </w:r>
            <w:r w:rsidRPr="00E2744E">
              <w:rPr>
                <w:color w:val="0D0D0D" w:themeColor="text1" w:themeTint="F2"/>
              </w:rPr>
              <w:t>000 кВт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474399" w:rsidRPr="00E2744E" w:rsidRDefault="00474399" w:rsidP="000A7BC7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Цена определяется согласно п. 1 ч. 1 ст. 93 Федера</w:t>
            </w:r>
            <w:r>
              <w:rPr>
                <w:color w:val="0D0D0D" w:themeColor="text1" w:themeTint="F2"/>
              </w:rPr>
              <w:t>льного закона от 05.04.2013 № 44</w:t>
            </w:r>
            <w:r w:rsidRPr="00E2744E">
              <w:rPr>
                <w:color w:val="0D0D0D" w:themeColor="text1" w:themeTint="F2"/>
              </w:rPr>
              <w:t>-ФЗ «О контрактной системе в сфере закупок товаров, работ, услуг для обеспечения государственных и муниципальных нужд</w:t>
            </w:r>
            <w:proofErr w:type="gramStart"/>
            <w:r w:rsidRPr="00E2744E">
              <w:rPr>
                <w:color w:val="0D0D0D" w:themeColor="text1" w:themeTint="F2"/>
              </w:rPr>
              <w:t>»(</w:t>
            </w:r>
            <w:proofErr w:type="gramEnd"/>
            <w:r w:rsidRPr="00E2744E">
              <w:rPr>
                <w:color w:val="0D0D0D" w:themeColor="text1" w:themeTint="F2"/>
              </w:rPr>
              <w:t>субъект естественной монополии)</w:t>
            </w:r>
          </w:p>
        </w:tc>
      </w:tr>
      <w:tr w:rsidR="00474399" w:rsidRPr="00E2744E" w:rsidTr="000A7BC7">
        <w:trPr>
          <w:trHeight w:val="703"/>
        </w:trPr>
        <w:tc>
          <w:tcPr>
            <w:tcW w:w="3085" w:type="dxa"/>
          </w:tcPr>
          <w:p w:rsidR="00474399" w:rsidRPr="00E2744E" w:rsidRDefault="00474399" w:rsidP="004C799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МКУ Агентство управления проектами</w:t>
            </w:r>
            <w:r w:rsidRPr="00E2744E">
              <w:rPr>
                <w:color w:val="0D0D0D" w:themeColor="text1" w:themeTint="F2"/>
              </w:rPr>
              <w:t xml:space="preserve"> (нормативы, применяемые при расчете затрат на теплоснабжение)</w:t>
            </w:r>
          </w:p>
        </w:tc>
        <w:tc>
          <w:tcPr>
            <w:tcW w:w="3827" w:type="dxa"/>
            <w:vAlign w:val="center"/>
          </w:tcPr>
          <w:p w:rsidR="00474399" w:rsidRPr="00E2744E" w:rsidRDefault="00474399" w:rsidP="004C799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  <w:r w:rsidRPr="00E2744E">
              <w:rPr>
                <w:color w:val="0D0D0D" w:themeColor="text1" w:themeTint="F2"/>
              </w:rPr>
              <w:t xml:space="preserve"> </w:t>
            </w:r>
            <w:proofErr w:type="spellStart"/>
            <w:r w:rsidRPr="00E2744E">
              <w:rPr>
                <w:color w:val="0D0D0D" w:themeColor="text1" w:themeTint="F2"/>
              </w:rPr>
              <w:t>ГКал</w:t>
            </w:r>
            <w:proofErr w:type="spellEnd"/>
          </w:p>
        </w:tc>
        <w:tc>
          <w:tcPr>
            <w:tcW w:w="2554" w:type="dxa"/>
            <w:vMerge/>
            <w:shd w:val="clear" w:color="auto" w:fill="auto"/>
          </w:tcPr>
          <w:p w:rsidR="00474399" w:rsidRPr="00E2744E" w:rsidRDefault="00474399">
            <w:pPr>
              <w:spacing w:after="200" w:line="276" w:lineRule="auto"/>
              <w:rPr>
                <w:color w:val="0D0D0D" w:themeColor="text1" w:themeTint="F2"/>
              </w:rPr>
            </w:pPr>
          </w:p>
        </w:tc>
      </w:tr>
      <w:tr w:rsidR="00474399" w:rsidRPr="00E2744E" w:rsidTr="000A7BC7">
        <w:trPr>
          <w:trHeight w:val="1493"/>
        </w:trPr>
        <w:tc>
          <w:tcPr>
            <w:tcW w:w="3085" w:type="dxa"/>
          </w:tcPr>
          <w:p w:rsidR="00474399" w:rsidRPr="00E2744E" w:rsidRDefault="00474399" w:rsidP="0063440B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МКУ Агентство управления проектами</w:t>
            </w:r>
            <w:r w:rsidRPr="00E2744E">
              <w:rPr>
                <w:color w:val="0D0D0D" w:themeColor="text1" w:themeTint="F2"/>
              </w:rPr>
              <w:t xml:space="preserve"> (нормативы, применяемые при расчете затрат на холодное водоснабжение и водоотведение)</w:t>
            </w:r>
          </w:p>
        </w:tc>
        <w:tc>
          <w:tcPr>
            <w:tcW w:w="3827" w:type="dxa"/>
            <w:vAlign w:val="center"/>
          </w:tcPr>
          <w:p w:rsidR="00474399" w:rsidRPr="00E2744E" w:rsidRDefault="00474399" w:rsidP="00CA06B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126</w:t>
            </w:r>
            <w:r w:rsidRPr="00E2744E">
              <w:rPr>
                <w:color w:val="0D0D0D" w:themeColor="text1" w:themeTint="F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D0D0D" w:themeColor="text1" w:themeTint="F2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0D0D0D" w:themeColor="text1" w:themeTint="F2"/>
                    </w:rPr>
                    <m:t>3</m:t>
                  </m:r>
                </m:sup>
              </m:sSup>
            </m:oMath>
          </w:p>
        </w:tc>
        <w:tc>
          <w:tcPr>
            <w:tcW w:w="2554" w:type="dxa"/>
            <w:vMerge/>
            <w:shd w:val="clear" w:color="auto" w:fill="auto"/>
          </w:tcPr>
          <w:p w:rsidR="00474399" w:rsidRPr="00E2744E" w:rsidRDefault="00474399">
            <w:pPr>
              <w:spacing w:after="200" w:line="276" w:lineRule="auto"/>
              <w:rPr>
                <w:color w:val="0D0D0D" w:themeColor="text1" w:themeTint="F2"/>
              </w:rPr>
            </w:pPr>
          </w:p>
        </w:tc>
      </w:tr>
      <w:tr w:rsidR="00474399" w:rsidRPr="00E2744E" w:rsidTr="006E4D26">
        <w:trPr>
          <w:trHeight w:val="87"/>
        </w:trPr>
        <w:tc>
          <w:tcPr>
            <w:tcW w:w="3085" w:type="dxa"/>
          </w:tcPr>
          <w:p w:rsidR="00474399" w:rsidRPr="00474399" w:rsidRDefault="00474399" w:rsidP="00474399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МКУ Агентство управления проектами</w:t>
            </w:r>
            <w:r w:rsidRPr="00E2744E">
              <w:rPr>
                <w:color w:val="0D0D0D" w:themeColor="text1" w:themeTint="F2"/>
              </w:rPr>
              <w:t xml:space="preserve"> (нормативы, применяемые при расчете затрат на </w:t>
            </w:r>
            <w:r>
              <w:rPr>
                <w:color w:val="0D0D0D" w:themeColor="text1" w:themeTint="F2"/>
              </w:rPr>
              <w:t xml:space="preserve">сбор, вывоз и утилизацию </w:t>
            </w:r>
            <w:r>
              <w:rPr>
                <w:color w:val="0D0D0D" w:themeColor="text1" w:themeTint="F2"/>
              </w:rPr>
              <w:lastRenderedPageBreak/>
              <w:t>твердых бытовых отходов)</w:t>
            </w:r>
          </w:p>
        </w:tc>
        <w:tc>
          <w:tcPr>
            <w:tcW w:w="3827" w:type="dxa"/>
            <w:vAlign w:val="center"/>
          </w:tcPr>
          <w:p w:rsidR="00474399" w:rsidRDefault="00474399" w:rsidP="00CA06B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1,12 (норма накопления)</w:t>
            </w:r>
          </w:p>
        </w:tc>
        <w:tc>
          <w:tcPr>
            <w:tcW w:w="2554" w:type="dxa"/>
            <w:vMerge/>
            <w:shd w:val="clear" w:color="auto" w:fill="auto"/>
          </w:tcPr>
          <w:p w:rsidR="00474399" w:rsidRPr="00E2744E" w:rsidRDefault="00474399">
            <w:pPr>
              <w:spacing w:after="200" w:line="276" w:lineRule="auto"/>
              <w:rPr>
                <w:color w:val="0D0D0D" w:themeColor="text1" w:themeTint="F2"/>
              </w:rPr>
            </w:pPr>
          </w:p>
        </w:tc>
      </w:tr>
    </w:tbl>
    <w:p w:rsidR="00C956C4" w:rsidRDefault="00E6101C" w:rsidP="00202061">
      <w:pPr>
        <w:tabs>
          <w:tab w:val="left" w:pos="2696"/>
        </w:tabs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</w:rPr>
        <w:lastRenderedPageBreak/>
        <w:tab/>
      </w:r>
    </w:p>
    <w:p w:rsidR="00814D1F" w:rsidRPr="00E2744E" w:rsidRDefault="00033E99" w:rsidP="00736870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="005D1AB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</w:t>
      </w:r>
    </w:p>
    <w:p w:rsidR="00875737" w:rsidRPr="00E2744E" w:rsidRDefault="00814D1F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8A2B4E" w:rsidRPr="00B6387C" w:rsidRDefault="00814D1F" w:rsidP="00B6387C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491DB5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содержание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муниципального имущества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2835"/>
      </w:tblGrid>
      <w:tr w:rsidR="00E2744E" w:rsidRPr="00E2744E" w:rsidTr="00B6387C">
        <w:trPr>
          <w:trHeight w:val="491"/>
          <w:tblHeader/>
        </w:trPr>
        <w:tc>
          <w:tcPr>
            <w:tcW w:w="6663" w:type="dxa"/>
            <w:vAlign w:val="center"/>
          </w:tcPr>
          <w:p w:rsidR="00E6101C" w:rsidRPr="00E2744E" w:rsidRDefault="00E6101C" w:rsidP="00736870">
            <w:pPr>
              <w:tabs>
                <w:tab w:val="left" w:pos="1316"/>
              </w:tabs>
              <w:ind w:left="-62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B6387C" w:rsidRPr="00225E04" w:rsidRDefault="00E6101C" w:rsidP="00736870">
            <w:pPr>
              <w:spacing w:after="200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</w:t>
            </w:r>
          </w:p>
          <w:p w:rsidR="00E6101C" w:rsidRPr="00E2744E" w:rsidRDefault="00E6101C" w:rsidP="00736870">
            <w:pPr>
              <w:spacing w:after="200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(не более), руб</w:t>
            </w:r>
            <w:r w:rsidR="00FB4444" w:rsidRPr="00E2744E">
              <w:rPr>
                <w:color w:val="0D0D0D" w:themeColor="text1" w:themeTint="F2"/>
              </w:rPr>
              <w:t>.</w:t>
            </w:r>
          </w:p>
        </w:tc>
      </w:tr>
      <w:tr w:rsidR="00E2744E" w:rsidRPr="00E2744E" w:rsidTr="00B6387C">
        <w:trPr>
          <w:trHeight w:val="170"/>
        </w:trPr>
        <w:tc>
          <w:tcPr>
            <w:tcW w:w="6663" w:type="dxa"/>
          </w:tcPr>
          <w:p w:rsidR="00E6101C" w:rsidRPr="00E2744E" w:rsidRDefault="00E6101C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Обслуживание копировально-множительных аппаратов</w:t>
            </w:r>
            <w:r w:rsidR="00312B43">
              <w:rPr>
                <w:color w:val="0D0D0D" w:themeColor="text1" w:themeTint="F2"/>
              </w:rPr>
              <w:t xml:space="preserve"> (в </w:t>
            </w:r>
            <w:proofErr w:type="spellStart"/>
            <w:r w:rsidR="00312B43">
              <w:rPr>
                <w:color w:val="0D0D0D" w:themeColor="text1" w:themeTint="F2"/>
              </w:rPr>
              <w:t>т.ч</w:t>
            </w:r>
            <w:proofErr w:type="spellEnd"/>
            <w:r w:rsidR="00312B43">
              <w:rPr>
                <w:color w:val="0D0D0D" w:themeColor="text1" w:themeTint="F2"/>
              </w:rPr>
              <w:t>. заправка картриджей)</w:t>
            </w:r>
          </w:p>
        </w:tc>
        <w:tc>
          <w:tcPr>
            <w:tcW w:w="2835" w:type="dxa"/>
            <w:vAlign w:val="center"/>
          </w:tcPr>
          <w:p w:rsidR="00E6101C" w:rsidRPr="00E2744E" w:rsidRDefault="00474399" w:rsidP="003D7AD1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  <w:r w:rsidR="00312B43">
              <w:rPr>
                <w:color w:val="0D0D0D" w:themeColor="text1" w:themeTint="F2"/>
              </w:rPr>
              <w:t>0</w:t>
            </w:r>
            <w:r w:rsidR="003D7AD1" w:rsidRPr="00E2744E">
              <w:rPr>
                <w:color w:val="0D0D0D" w:themeColor="text1" w:themeTint="F2"/>
              </w:rPr>
              <w:t> 000</w:t>
            </w:r>
          </w:p>
        </w:tc>
      </w:tr>
      <w:tr w:rsidR="00E2744E" w:rsidRPr="00E2744E" w:rsidTr="00B6387C">
        <w:trPr>
          <w:trHeight w:val="70"/>
        </w:trPr>
        <w:tc>
          <w:tcPr>
            <w:tcW w:w="6663" w:type="dxa"/>
          </w:tcPr>
          <w:p w:rsidR="00E6101C" w:rsidRPr="00E2744E" w:rsidRDefault="00085B04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Содержание имущества в чистоте</w:t>
            </w:r>
          </w:p>
        </w:tc>
        <w:tc>
          <w:tcPr>
            <w:tcW w:w="2835" w:type="dxa"/>
            <w:vAlign w:val="center"/>
          </w:tcPr>
          <w:p w:rsidR="00E6101C" w:rsidRPr="00085B04" w:rsidRDefault="00474399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</w:t>
            </w:r>
            <w:r w:rsidR="00085B04" w:rsidRPr="00085B04">
              <w:rPr>
                <w:color w:val="0D0D0D" w:themeColor="text1" w:themeTint="F2"/>
              </w:rPr>
              <w:t xml:space="preserve"> 000</w:t>
            </w:r>
          </w:p>
        </w:tc>
      </w:tr>
      <w:tr w:rsidR="00E2744E" w:rsidRPr="00E2744E" w:rsidTr="00B6387C">
        <w:trPr>
          <w:trHeight w:val="70"/>
        </w:trPr>
        <w:tc>
          <w:tcPr>
            <w:tcW w:w="6663" w:type="dxa"/>
          </w:tcPr>
          <w:p w:rsidR="00E6101C" w:rsidRPr="00E2744E" w:rsidRDefault="00085B04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Зарядка огнетушителей</w:t>
            </w:r>
          </w:p>
        </w:tc>
        <w:tc>
          <w:tcPr>
            <w:tcW w:w="2835" w:type="dxa"/>
            <w:vAlign w:val="center"/>
          </w:tcPr>
          <w:p w:rsidR="00E6101C" w:rsidRPr="00085B04" w:rsidRDefault="00085B04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085B04">
              <w:rPr>
                <w:color w:val="0D0D0D" w:themeColor="text1" w:themeTint="F2"/>
              </w:rPr>
              <w:t>1 000</w:t>
            </w:r>
          </w:p>
        </w:tc>
      </w:tr>
      <w:tr w:rsidR="00E2744E" w:rsidRPr="00E2744E" w:rsidTr="00B6387C">
        <w:tc>
          <w:tcPr>
            <w:tcW w:w="6663" w:type="dxa"/>
          </w:tcPr>
          <w:p w:rsidR="00E6101C" w:rsidRPr="00E2744E" w:rsidRDefault="00085B04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Тех.обслуживание</w:t>
            </w:r>
            <w:proofErr w:type="spellEnd"/>
            <w:r>
              <w:rPr>
                <w:color w:val="0D0D0D" w:themeColor="text1" w:themeTint="F2"/>
              </w:rPr>
              <w:t xml:space="preserve"> средств пожарной сигнализации</w:t>
            </w:r>
          </w:p>
        </w:tc>
        <w:tc>
          <w:tcPr>
            <w:tcW w:w="2835" w:type="dxa"/>
            <w:vAlign w:val="center"/>
          </w:tcPr>
          <w:p w:rsidR="00E6101C" w:rsidRPr="00085B04" w:rsidRDefault="00085B04" w:rsidP="00474399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085B04">
              <w:rPr>
                <w:color w:val="0D0D0D" w:themeColor="text1" w:themeTint="F2"/>
              </w:rPr>
              <w:t>1</w:t>
            </w:r>
            <w:r w:rsidR="00474399">
              <w:rPr>
                <w:color w:val="0D0D0D" w:themeColor="text1" w:themeTint="F2"/>
              </w:rPr>
              <w:t>0</w:t>
            </w:r>
            <w:r w:rsidRPr="00085B04">
              <w:rPr>
                <w:color w:val="0D0D0D" w:themeColor="text1" w:themeTint="F2"/>
              </w:rPr>
              <w:t xml:space="preserve"> 000</w:t>
            </w:r>
          </w:p>
        </w:tc>
      </w:tr>
      <w:tr w:rsidR="00AC68A4" w:rsidRPr="00E2744E" w:rsidTr="00B6387C">
        <w:tc>
          <w:tcPr>
            <w:tcW w:w="6663" w:type="dxa"/>
          </w:tcPr>
          <w:p w:rsidR="00AC68A4" w:rsidRDefault="00AC68A4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Уборка контейнерных площадок</w:t>
            </w:r>
          </w:p>
        </w:tc>
        <w:tc>
          <w:tcPr>
            <w:tcW w:w="2835" w:type="dxa"/>
            <w:vAlign w:val="center"/>
          </w:tcPr>
          <w:p w:rsidR="00AC68A4" w:rsidRDefault="00474399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  <w:r w:rsidR="00AC68A4">
              <w:rPr>
                <w:color w:val="0D0D0D" w:themeColor="text1" w:themeTint="F2"/>
              </w:rPr>
              <w:t xml:space="preserve"> 000</w:t>
            </w:r>
          </w:p>
        </w:tc>
      </w:tr>
      <w:tr w:rsidR="009256AF" w:rsidRPr="00E2744E" w:rsidTr="00B6387C">
        <w:tc>
          <w:tcPr>
            <w:tcW w:w="6663" w:type="dxa"/>
          </w:tcPr>
          <w:p w:rsidR="009256AF" w:rsidRDefault="009256AF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Налог на имущество</w:t>
            </w:r>
          </w:p>
        </w:tc>
        <w:tc>
          <w:tcPr>
            <w:tcW w:w="2835" w:type="dxa"/>
            <w:vAlign w:val="center"/>
          </w:tcPr>
          <w:p w:rsidR="009256AF" w:rsidRDefault="009256AF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1 000</w:t>
            </w:r>
          </w:p>
        </w:tc>
      </w:tr>
    </w:tbl>
    <w:p w:rsidR="000A7BC7" w:rsidRPr="00E2744E" w:rsidRDefault="000A7BC7" w:rsidP="000A7BC7">
      <w:pPr>
        <w:rPr>
          <w:b/>
          <w:color w:val="0D0D0D" w:themeColor="text1" w:themeTint="F2"/>
          <w:sz w:val="28"/>
          <w:szCs w:val="28"/>
          <w:lang w:val="en-US"/>
        </w:rPr>
      </w:pPr>
    </w:p>
    <w:p w:rsidR="00AC015C" w:rsidRPr="00E2744E" w:rsidRDefault="00033E99" w:rsidP="00736870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b/>
          <w:color w:val="0D0D0D" w:themeColor="text1" w:themeTint="F2"/>
          <w:sz w:val="28"/>
          <w:szCs w:val="28"/>
        </w:rPr>
        <w:t xml:space="preserve">№ </w:t>
      </w:r>
      <w:r w:rsidR="005D1AB2">
        <w:rPr>
          <w:b/>
          <w:color w:val="0D0D0D" w:themeColor="text1" w:themeTint="F2"/>
          <w:sz w:val="28"/>
          <w:szCs w:val="28"/>
        </w:rPr>
        <w:t>1</w:t>
      </w:r>
      <w:r w:rsidR="00202061">
        <w:rPr>
          <w:b/>
          <w:color w:val="0D0D0D" w:themeColor="text1" w:themeTint="F2"/>
          <w:sz w:val="28"/>
          <w:szCs w:val="28"/>
        </w:rPr>
        <w:t>7</w:t>
      </w:r>
    </w:p>
    <w:p w:rsidR="00875737" w:rsidRPr="00E2744E" w:rsidRDefault="00AC015C" w:rsidP="0073687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затрат на техническое </w:t>
      </w:r>
    </w:p>
    <w:p w:rsidR="008A2B4E" w:rsidRPr="00B6387C" w:rsidRDefault="00AC015C" w:rsidP="00B6387C">
      <w:pPr>
        <w:jc w:val="center"/>
        <w:rPr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b/>
          <w:color w:val="0D0D0D" w:themeColor="text1" w:themeTint="F2"/>
          <w:sz w:val="28"/>
          <w:szCs w:val="28"/>
        </w:rPr>
        <w:t>обслуживание и текущий ремонт имущества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985"/>
      </w:tblGrid>
      <w:tr w:rsidR="00E2744E" w:rsidRPr="00E2744E" w:rsidTr="000A7BC7">
        <w:tc>
          <w:tcPr>
            <w:tcW w:w="3794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36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одной услуги (не более), руб.</w:t>
            </w:r>
          </w:p>
        </w:tc>
        <w:tc>
          <w:tcPr>
            <w:tcW w:w="19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Общая сумма  </w:t>
            </w:r>
          </w:p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(не более), руб.</w:t>
            </w:r>
          </w:p>
        </w:tc>
      </w:tr>
      <w:tr w:rsidR="00085B04" w:rsidRPr="00E2744E" w:rsidTr="00F07130">
        <w:trPr>
          <w:trHeight w:val="181"/>
        </w:trPr>
        <w:tc>
          <w:tcPr>
            <w:tcW w:w="3794" w:type="dxa"/>
          </w:tcPr>
          <w:p w:rsidR="00085B04" w:rsidRPr="00E2744E" w:rsidRDefault="00085B04" w:rsidP="00F07130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Текущий ремонт имущества  </w:t>
            </w:r>
          </w:p>
        </w:tc>
        <w:tc>
          <w:tcPr>
            <w:tcW w:w="3685" w:type="dxa"/>
            <w:vAlign w:val="center"/>
          </w:tcPr>
          <w:p w:rsidR="00085B04" w:rsidRPr="00085B04" w:rsidRDefault="00474399" w:rsidP="00F07130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132</w:t>
            </w:r>
            <w:r w:rsidR="00085B04" w:rsidRPr="00085B04">
              <w:rPr>
                <w:color w:val="0D0D0D" w:themeColor="text1" w:themeTint="F2"/>
              </w:rPr>
              <w:t xml:space="preserve"> 000</w:t>
            </w:r>
          </w:p>
        </w:tc>
        <w:tc>
          <w:tcPr>
            <w:tcW w:w="1985" w:type="dxa"/>
            <w:vAlign w:val="center"/>
          </w:tcPr>
          <w:p w:rsidR="00085B04" w:rsidRPr="00085B04" w:rsidRDefault="00474399" w:rsidP="00F07130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132</w:t>
            </w:r>
            <w:r w:rsidR="00085B04" w:rsidRPr="00085B04">
              <w:rPr>
                <w:color w:val="0D0D0D" w:themeColor="text1" w:themeTint="F2"/>
              </w:rPr>
              <w:t xml:space="preserve"> 000</w:t>
            </w:r>
          </w:p>
        </w:tc>
      </w:tr>
      <w:tr w:rsidR="00085B04" w:rsidRPr="00E2744E" w:rsidTr="00F07130">
        <w:trPr>
          <w:trHeight w:val="70"/>
        </w:trPr>
        <w:tc>
          <w:tcPr>
            <w:tcW w:w="3794" w:type="dxa"/>
          </w:tcPr>
          <w:p w:rsidR="00085B04" w:rsidRPr="00E2744E" w:rsidRDefault="00085B04" w:rsidP="00F0713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Тех. обслуживание имущества</w:t>
            </w:r>
          </w:p>
        </w:tc>
        <w:tc>
          <w:tcPr>
            <w:tcW w:w="3685" w:type="dxa"/>
            <w:vAlign w:val="center"/>
          </w:tcPr>
          <w:p w:rsidR="00085B04" w:rsidRPr="00E2744E" w:rsidRDefault="00474399" w:rsidP="00F07130">
            <w:pPr>
              <w:tabs>
                <w:tab w:val="left" w:pos="1316"/>
              </w:tabs>
              <w:ind w:right="31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</w:t>
            </w:r>
            <w:r w:rsidR="00085B04">
              <w:rPr>
                <w:color w:val="0D0D0D" w:themeColor="text1" w:themeTint="F2"/>
              </w:rPr>
              <w:t xml:space="preserve"> </w:t>
            </w:r>
            <w:r w:rsidR="00085B04" w:rsidRPr="00E2744E">
              <w:rPr>
                <w:color w:val="0D0D0D" w:themeColor="text1" w:themeTint="F2"/>
              </w:rPr>
              <w:t>000</w:t>
            </w:r>
          </w:p>
        </w:tc>
        <w:tc>
          <w:tcPr>
            <w:tcW w:w="1985" w:type="dxa"/>
            <w:vAlign w:val="center"/>
          </w:tcPr>
          <w:p w:rsidR="00085B04" w:rsidRPr="00E2744E" w:rsidRDefault="00474399" w:rsidP="00F07130">
            <w:pPr>
              <w:tabs>
                <w:tab w:val="left" w:pos="1316"/>
              </w:tabs>
              <w:ind w:right="31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</w:t>
            </w:r>
            <w:r w:rsidR="00085B04">
              <w:rPr>
                <w:color w:val="0D0D0D" w:themeColor="text1" w:themeTint="F2"/>
              </w:rPr>
              <w:t xml:space="preserve"> </w:t>
            </w:r>
            <w:r w:rsidR="00085B04" w:rsidRPr="00E2744E">
              <w:rPr>
                <w:color w:val="0D0D0D" w:themeColor="text1" w:themeTint="F2"/>
              </w:rPr>
              <w:t>000</w:t>
            </w:r>
          </w:p>
        </w:tc>
      </w:tr>
    </w:tbl>
    <w:p w:rsidR="004C7995" w:rsidRPr="00E2744E" w:rsidRDefault="004C7995" w:rsidP="00736870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CB6CFA" w:rsidRPr="00E2744E" w:rsidRDefault="00CB6CFA" w:rsidP="00736870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b/>
          <w:color w:val="0D0D0D" w:themeColor="text1" w:themeTint="F2"/>
          <w:sz w:val="28"/>
          <w:szCs w:val="28"/>
        </w:rPr>
        <w:t xml:space="preserve">№ </w:t>
      </w:r>
      <w:r w:rsidR="000450F7">
        <w:rPr>
          <w:b/>
          <w:color w:val="0D0D0D" w:themeColor="text1" w:themeTint="F2"/>
          <w:sz w:val="28"/>
          <w:szCs w:val="28"/>
        </w:rPr>
        <w:t>18</w:t>
      </w:r>
    </w:p>
    <w:p w:rsidR="00B6544F" w:rsidRPr="00E2744E" w:rsidRDefault="00CB6CFA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736870" w:rsidRPr="00E2744E" w:rsidRDefault="00CB6CFA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информационное обеспечение деятельности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3936"/>
        <w:gridCol w:w="5527"/>
      </w:tblGrid>
      <w:tr w:rsidR="00E2744E" w:rsidRPr="00E2744E" w:rsidTr="00B6387C">
        <w:trPr>
          <w:trHeight w:val="285"/>
          <w:tblHeader/>
        </w:trPr>
        <w:tc>
          <w:tcPr>
            <w:tcW w:w="3936" w:type="dxa"/>
          </w:tcPr>
          <w:p w:rsidR="00736870" w:rsidRPr="00E2744E" w:rsidRDefault="00B6544F" w:rsidP="0073687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Вид </w:t>
            </w:r>
            <w:r w:rsidR="0073687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</w:t>
            </w:r>
          </w:p>
        </w:tc>
        <w:tc>
          <w:tcPr>
            <w:tcW w:w="5527" w:type="dxa"/>
          </w:tcPr>
          <w:p w:rsidR="00736870" w:rsidRPr="00E2744E" w:rsidRDefault="00736870" w:rsidP="0073687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Описание</w:t>
            </w:r>
          </w:p>
        </w:tc>
      </w:tr>
      <w:tr w:rsidR="00E2744E" w:rsidRPr="00E2744E" w:rsidTr="00B6387C">
        <w:tblPrEx>
          <w:tblLook w:val="04A0" w:firstRow="1" w:lastRow="0" w:firstColumn="1" w:lastColumn="0" w:noHBand="0" w:noVBand="1"/>
        </w:tblPrEx>
        <w:tc>
          <w:tcPr>
            <w:tcW w:w="3936" w:type="dxa"/>
          </w:tcPr>
          <w:p w:rsidR="00E6101C" w:rsidRPr="00E2744E" w:rsidRDefault="00E6101C" w:rsidP="00736870">
            <w:pPr>
              <w:pStyle w:val="a3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Затраты на приобретение пер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иодических печатных изданий </w:t>
            </w:r>
          </w:p>
        </w:tc>
        <w:tc>
          <w:tcPr>
            <w:tcW w:w="5527" w:type="dxa"/>
          </w:tcPr>
          <w:p w:rsidR="00E6101C" w:rsidRPr="00E2744E" w:rsidRDefault="00E6101C" w:rsidP="00AC68A4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Согласно тарифам, установлен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ным подписными агентствами</w:t>
            </w:r>
            <w:r w:rsidR="000A7BC7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. </w:t>
            </w:r>
            <w:r w:rsidR="00B6387C" w:rsidRPr="00B6387C">
              <w:rPr>
                <w:color w:val="0D0D0D" w:themeColor="text1" w:themeTint="F2"/>
                <w:sz w:val="24"/>
                <w:szCs w:val="24"/>
                <w:u w:val="none"/>
              </w:rPr>
              <w:t xml:space="preserve"> 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За год сумма не более </w:t>
            </w:r>
            <w:r w:rsidR="00AC68A4">
              <w:rPr>
                <w:color w:val="0D0D0D" w:themeColor="text1" w:themeTint="F2"/>
                <w:sz w:val="24"/>
                <w:szCs w:val="24"/>
                <w:u w:val="none"/>
              </w:rPr>
              <w:t>20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 000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руб. </w:t>
            </w:r>
          </w:p>
        </w:tc>
      </w:tr>
    </w:tbl>
    <w:p w:rsidR="00220B10" w:rsidRPr="00225E04" w:rsidRDefault="00220B10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93912" w:rsidRDefault="00593912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F97D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5440F" w:rsidRPr="00B5440F" w:rsidRDefault="00B5440F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bookmarkStart w:id="0" w:name="_GoBack"/>
      <w:bookmarkEnd w:id="0"/>
    </w:p>
    <w:p w:rsidR="00B5440F" w:rsidRDefault="00B5440F" w:rsidP="00B5440F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B5440F" w:rsidRDefault="00B5440F" w:rsidP="00B5440F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и отчетности                                                                        Н.А. Шестакова</w:t>
      </w:r>
    </w:p>
    <w:p w:rsidR="00B5440F" w:rsidRDefault="00B5440F" w:rsidP="00B5440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B5440F" w:rsidRDefault="00B5440F" w:rsidP="00B5440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B5440F" w:rsidRDefault="00B5440F" w:rsidP="00B5440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B6387C" w:rsidRPr="00E2744E" w:rsidRDefault="00847806" w:rsidP="00847806">
      <w:pPr>
        <w:pStyle w:val="ConsPlusNormal"/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sectPr w:rsidR="00B6387C" w:rsidRPr="00E2744E" w:rsidSect="00E050A1">
      <w:headerReference w:type="default" r:id="rId9"/>
      <w:headerReference w:type="first" r:id="rId10"/>
      <w:pgSz w:w="11906" w:h="16838" w:code="9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EA" w:rsidRDefault="00C50FEA" w:rsidP="009B749E">
      <w:r>
        <w:separator/>
      </w:r>
    </w:p>
  </w:endnote>
  <w:endnote w:type="continuationSeparator" w:id="0">
    <w:p w:rsidR="00C50FEA" w:rsidRDefault="00C50FEA" w:rsidP="009B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EA" w:rsidRDefault="00C50FEA" w:rsidP="009B749E">
      <w:r>
        <w:separator/>
      </w:r>
    </w:p>
  </w:footnote>
  <w:footnote w:type="continuationSeparator" w:id="0">
    <w:p w:rsidR="00C50FEA" w:rsidRDefault="00C50FEA" w:rsidP="009B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681020"/>
      <w:docPartObj>
        <w:docPartGallery w:val="Page Numbers (Top of Page)"/>
        <w:docPartUnique/>
      </w:docPartObj>
    </w:sdtPr>
    <w:sdtEndPr/>
    <w:sdtContent>
      <w:p w:rsidR="00474399" w:rsidRDefault="0047439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40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74399" w:rsidRDefault="0047439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99" w:rsidRDefault="00474399">
    <w:pPr>
      <w:pStyle w:val="af"/>
      <w:jc w:val="center"/>
    </w:pPr>
  </w:p>
  <w:p w:rsidR="00474399" w:rsidRDefault="0047439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2pt;height:19.2pt;visibility:visible;mso-wrap-style:square" o:bullet="t">
        <v:imagedata r:id="rId1" o:title="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0FDC2B56"/>
    <w:multiLevelType w:val="multilevel"/>
    <w:tmpl w:val="6D9098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8" w:hanging="150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09" w:hanging="15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09" w:hanging="15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9" w:hanging="15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9" w:hanging="15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6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6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9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1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6"/>
  </w:num>
  <w:num w:numId="3">
    <w:abstractNumId w:val="21"/>
  </w:num>
  <w:num w:numId="4">
    <w:abstractNumId w:val="29"/>
  </w:num>
  <w:num w:numId="5">
    <w:abstractNumId w:val="3"/>
  </w:num>
  <w:num w:numId="6">
    <w:abstractNumId w:val="11"/>
  </w:num>
  <w:num w:numId="7">
    <w:abstractNumId w:val="14"/>
  </w:num>
  <w:num w:numId="8">
    <w:abstractNumId w:val="0"/>
  </w:num>
  <w:num w:numId="9">
    <w:abstractNumId w:val="22"/>
  </w:num>
  <w:num w:numId="10">
    <w:abstractNumId w:val="24"/>
  </w:num>
  <w:num w:numId="11">
    <w:abstractNumId w:val="18"/>
  </w:num>
  <w:num w:numId="12">
    <w:abstractNumId w:val="7"/>
  </w:num>
  <w:num w:numId="13">
    <w:abstractNumId w:val="2"/>
  </w:num>
  <w:num w:numId="14">
    <w:abstractNumId w:val="25"/>
  </w:num>
  <w:num w:numId="15">
    <w:abstractNumId w:val="12"/>
  </w:num>
  <w:num w:numId="16">
    <w:abstractNumId w:val="8"/>
  </w:num>
  <w:num w:numId="17">
    <w:abstractNumId w:val="15"/>
  </w:num>
  <w:num w:numId="18">
    <w:abstractNumId w:val="19"/>
  </w:num>
  <w:num w:numId="19">
    <w:abstractNumId w:val="27"/>
  </w:num>
  <w:num w:numId="20">
    <w:abstractNumId w:val="6"/>
  </w:num>
  <w:num w:numId="21">
    <w:abstractNumId w:val="1"/>
  </w:num>
  <w:num w:numId="22">
    <w:abstractNumId w:val="17"/>
  </w:num>
  <w:num w:numId="23">
    <w:abstractNumId w:val="16"/>
  </w:num>
  <w:num w:numId="24">
    <w:abstractNumId w:val="10"/>
  </w:num>
  <w:num w:numId="25">
    <w:abstractNumId w:val="13"/>
  </w:num>
  <w:num w:numId="26">
    <w:abstractNumId w:val="4"/>
  </w:num>
  <w:num w:numId="27">
    <w:abstractNumId w:val="9"/>
  </w:num>
  <w:num w:numId="28">
    <w:abstractNumId w:val="28"/>
  </w:num>
  <w:num w:numId="29">
    <w:abstractNumId w:val="2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27"/>
    <w:rsid w:val="00003CCF"/>
    <w:rsid w:val="000042BC"/>
    <w:rsid w:val="00006220"/>
    <w:rsid w:val="00012D07"/>
    <w:rsid w:val="00025D8C"/>
    <w:rsid w:val="00027673"/>
    <w:rsid w:val="00033E99"/>
    <w:rsid w:val="00037162"/>
    <w:rsid w:val="00041A93"/>
    <w:rsid w:val="000450F7"/>
    <w:rsid w:val="000548CB"/>
    <w:rsid w:val="00062038"/>
    <w:rsid w:val="000774A3"/>
    <w:rsid w:val="00085B04"/>
    <w:rsid w:val="000A38BE"/>
    <w:rsid w:val="000A3F25"/>
    <w:rsid w:val="000A4993"/>
    <w:rsid w:val="000A7BC7"/>
    <w:rsid w:val="000A7FBF"/>
    <w:rsid w:val="000B16B6"/>
    <w:rsid w:val="000D0C43"/>
    <w:rsid w:val="000D647D"/>
    <w:rsid w:val="00103371"/>
    <w:rsid w:val="001053DD"/>
    <w:rsid w:val="0010543C"/>
    <w:rsid w:val="00112E08"/>
    <w:rsid w:val="00124312"/>
    <w:rsid w:val="00135E06"/>
    <w:rsid w:val="001375DC"/>
    <w:rsid w:val="001458BA"/>
    <w:rsid w:val="00164330"/>
    <w:rsid w:val="0016460E"/>
    <w:rsid w:val="00183D84"/>
    <w:rsid w:val="00184D81"/>
    <w:rsid w:val="001851D7"/>
    <w:rsid w:val="00190C17"/>
    <w:rsid w:val="00190C32"/>
    <w:rsid w:val="00196C6A"/>
    <w:rsid w:val="00196EDA"/>
    <w:rsid w:val="001A0255"/>
    <w:rsid w:val="001A5953"/>
    <w:rsid w:val="001B7166"/>
    <w:rsid w:val="001C44CD"/>
    <w:rsid w:val="001C4D5B"/>
    <w:rsid w:val="001C7CAC"/>
    <w:rsid w:val="001D023C"/>
    <w:rsid w:val="001D0872"/>
    <w:rsid w:val="001D2C25"/>
    <w:rsid w:val="001D530F"/>
    <w:rsid w:val="001D6202"/>
    <w:rsid w:val="001D7322"/>
    <w:rsid w:val="001D746A"/>
    <w:rsid w:val="001F5BDD"/>
    <w:rsid w:val="001F6566"/>
    <w:rsid w:val="00202061"/>
    <w:rsid w:val="00207F27"/>
    <w:rsid w:val="002117BB"/>
    <w:rsid w:val="00216C90"/>
    <w:rsid w:val="00220B10"/>
    <w:rsid w:val="00225E04"/>
    <w:rsid w:val="00232B6D"/>
    <w:rsid w:val="0024212F"/>
    <w:rsid w:val="00243681"/>
    <w:rsid w:val="00245AF5"/>
    <w:rsid w:val="00246BF9"/>
    <w:rsid w:val="00247ABD"/>
    <w:rsid w:val="0025701D"/>
    <w:rsid w:val="00263773"/>
    <w:rsid w:val="00267AC4"/>
    <w:rsid w:val="00290DEB"/>
    <w:rsid w:val="00291750"/>
    <w:rsid w:val="00292879"/>
    <w:rsid w:val="00296EE8"/>
    <w:rsid w:val="002A0F90"/>
    <w:rsid w:val="002B1453"/>
    <w:rsid w:val="002C18D6"/>
    <w:rsid w:val="002E5717"/>
    <w:rsid w:val="002E7D96"/>
    <w:rsid w:val="002F3B5C"/>
    <w:rsid w:val="00312B43"/>
    <w:rsid w:val="00312B7A"/>
    <w:rsid w:val="00320814"/>
    <w:rsid w:val="003318C4"/>
    <w:rsid w:val="00333F24"/>
    <w:rsid w:val="00343DFF"/>
    <w:rsid w:val="00353692"/>
    <w:rsid w:val="0036380F"/>
    <w:rsid w:val="00364B70"/>
    <w:rsid w:val="003679FB"/>
    <w:rsid w:val="003815A9"/>
    <w:rsid w:val="00383A51"/>
    <w:rsid w:val="00385136"/>
    <w:rsid w:val="00393FD0"/>
    <w:rsid w:val="00394597"/>
    <w:rsid w:val="00397C80"/>
    <w:rsid w:val="003A3D6E"/>
    <w:rsid w:val="003B51AE"/>
    <w:rsid w:val="003C5815"/>
    <w:rsid w:val="003C6986"/>
    <w:rsid w:val="003D3F9B"/>
    <w:rsid w:val="003D74A5"/>
    <w:rsid w:val="003D7AD1"/>
    <w:rsid w:val="003E6CCA"/>
    <w:rsid w:val="003F0C5D"/>
    <w:rsid w:val="003F2188"/>
    <w:rsid w:val="003F3991"/>
    <w:rsid w:val="003F778A"/>
    <w:rsid w:val="00402BE2"/>
    <w:rsid w:val="004113F9"/>
    <w:rsid w:val="00412613"/>
    <w:rsid w:val="004127C8"/>
    <w:rsid w:val="00413DF7"/>
    <w:rsid w:val="0041457A"/>
    <w:rsid w:val="00414895"/>
    <w:rsid w:val="00442191"/>
    <w:rsid w:val="004433D8"/>
    <w:rsid w:val="00444568"/>
    <w:rsid w:val="00464762"/>
    <w:rsid w:val="00474399"/>
    <w:rsid w:val="00480EF9"/>
    <w:rsid w:val="0048415B"/>
    <w:rsid w:val="004841C0"/>
    <w:rsid w:val="004844E6"/>
    <w:rsid w:val="00486978"/>
    <w:rsid w:val="00491DB5"/>
    <w:rsid w:val="004949AE"/>
    <w:rsid w:val="004A623B"/>
    <w:rsid w:val="004A6A54"/>
    <w:rsid w:val="004B1E7E"/>
    <w:rsid w:val="004B5B97"/>
    <w:rsid w:val="004C7995"/>
    <w:rsid w:val="004C7A17"/>
    <w:rsid w:val="004E0261"/>
    <w:rsid w:val="004E0F84"/>
    <w:rsid w:val="005022B2"/>
    <w:rsid w:val="00503310"/>
    <w:rsid w:val="005047DA"/>
    <w:rsid w:val="005100D8"/>
    <w:rsid w:val="00511AFA"/>
    <w:rsid w:val="005137D7"/>
    <w:rsid w:val="005214CB"/>
    <w:rsid w:val="005221F1"/>
    <w:rsid w:val="00535498"/>
    <w:rsid w:val="005431FF"/>
    <w:rsid w:val="005464A9"/>
    <w:rsid w:val="00560D60"/>
    <w:rsid w:val="0056485E"/>
    <w:rsid w:val="00584476"/>
    <w:rsid w:val="005850D5"/>
    <w:rsid w:val="00587FB5"/>
    <w:rsid w:val="00592885"/>
    <w:rsid w:val="00593912"/>
    <w:rsid w:val="00595AFE"/>
    <w:rsid w:val="005968F9"/>
    <w:rsid w:val="005A1FDB"/>
    <w:rsid w:val="005A7A68"/>
    <w:rsid w:val="005B635C"/>
    <w:rsid w:val="005C3073"/>
    <w:rsid w:val="005D0615"/>
    <w:rsid w:val="005D1AB2"/>
    <w:rsid w:val="005E5A38"/>
    <w:rsid w:val="005E700A"/>
    <w:rsid w:val="006015DB"/>
    <w:rsid w:val="00601794"/>
    <w:rsid w:val="00607AE8"/>
    <w:rsid w:val="00617BC7"/>
    <w:rsid w:val="00621C93"/>
    <w:rsid w:val="0062759E"/>
    <w:rsid w:val="0063440B"/>
    <w:rsid w:val="00634B0B"/>
    <w:rsid w:val="0064297B"/>
    <w:rsid w:val="00642AFC"/>
    <w:rsid w:val="00642DB9"/>
    <w:rsid w:val="00644959"/>
    <w:rsid w:val="00644AB4"/>
    <w:rsid w:val="00651778"/>
    <w:rsid w:val="00662927"/>
    <w:rsid w:val="006664EF"/>
    <w:rsid w:val="00671549"/>
    <w:rsid w:val="00677917"/>
    <w:rsid w:val="00685A4A"/>
    <w:rsid w:val="006A59E4"/>
    <w:rsid w:val="006B2FE4"/>
    <w:rsid w:val="006B332B"/>
    <w:rsid w:val="006B3F39"/>
    <w:rsid w:val="006D01F3"/>
    <w:rsid w:val="006D37BC"/>
    <w:rsid w:val="006D43DF"/>
    <w:rsid w:val="006D6923"/>
    <w:rsid w:val="006E4D26"/>
    <w:rsid w:val="006E53C7"/>
    <w:rsid w:val="006E547B"/>
    <w:rsid w:val="006F6B6D"/>
    <w:rsid w:val="00700142"/>
    <w:rsid w:val="00710575"/>
    <w:rsid w:val="00715121"/>
    <w:rsid w:val="00720A4B"/>
    <w:rsid w:val="00732915"/>
    <w:rsid w:val="00736870"/>
    <w:rsid w:val="00742665"/>
    <w:rsid w:val="0076092A"/>
    <w:rsid w:val="00764BD2"/>
    <w:rsid w:val="0076745C"/>
    <w:rsid w:val="007701E3"/>
    <w:rsid w:val="007734C9"/>
    <w:rsid w:val="00775638"/>
    <w:rsid w:val="00776A38"/>
    <w:rsid w:val="0078254C"/>
    <w:rsid w:val="00782A74"/>
    <w:rsid w:val="00784DA1"/>
    <w:rsid w:val="00795D96"/>
    <w:rsid w:val="007A40A8"/>
    <w:rsid w:val="007A58B8"/>
    <w:rsid w:val="007A5B4C"/>
    <w:rsid w:val="007B7ED8"/>
    <w:rsid w:val="007C5115"/>
    <w:rsid w:val="007C5671"/>
    <w:rsid w:val="007C7AC4"/>
    <w:rsid w:val="007E0D1B"/>
    <w:rsid w:val="007E36EC"/>
    <w:rsid w:val="007E614C"/>
    <w:rsid w:val="007E67B9"/>
    <w:rsid w:val="007E7D7B"/>
    <w:rsid w:val="00800C3D"/>
    <w:rsid w:val="00802242"/>
    <w:rsid w:val="008118F2"/>
    <w:rsid w:val="00811F24"/>
    <w:rsid w:val="00814D1F"/>
    <w:rsid w:val="00816B84"/>
    <w:rsid w:val="00816D14"/>
    <w:rsid w:val="00817672"/>
    <w:rsid w:val="0082220E"/>
    <w:rsid w:val="00822AF4"/>
    <w:rsid w:val="008302BD"/>
    <w:rsid w:val="0083296F"/>
    <w:rsid w:val="00847806"/>
    <w:rsid w:val="0086544A"/>
    <w:rsid w:val="008667B0"/>
    <w:rsid w:val="00866D9E"/>
    <w:rsid w:val="00867AD9"/>
    <w:rsid w:val="00871EF0"/>
    <w:rsid w:val="00875737"/>
    <w:rsid w:val="00875D3C"/>
    <w:rsid w:val="0088011D"/>
    <w:rsid w:val="008802FD"/>
    <w:rsid w:val="00886C06"/>
    <w:rsid w:val="00890924"/>
    <w:rsid w:val="00895490"/>
    <w:rsid w:val="008A2B4E"/>
    <w:rsid w:val="008C0B59"/>
    <w:rsid w:val="008D6858"/>
    <w:rsid w:val="008E03EF"/>
    <w:rsid w:val="008F49C6"/>
    <w:rsid w:val="009119A4"/>
    <w:rsid w:val="00916FD9"/>
    <w:rsid w:val="009256AF"/>
    <w:rsid w:val="00927191"/>
    <w:rsid w:val="009324A0"/>
    <w:rsid w:val="0093776C"/>
    <w:rsid w:val="00940EDD"/>
    <w:rsid w:val="00946AF1"/>
    <w:rsid w:val="00952FC3"/>
    <w:rsid w:val="009569EC"/>
    <w:rsid w:val="00974270"/>
    <w:rsid w:val="009745F5"/>
    <w:rsid w:val="009801BB"/>
    <w:rsid w:val="00981980"/>
    <w:rsid w:val="0098324E"/>
    <w:rsid w:val="009A0DC9"/>
    <w:rsid w:val="009A2190"/>
    <w:rsid w:val="009A5051"/>
    <w:rsid w:val="009A6541"/>
    <w:rsid w:val="009B486D"/>
    <w:rsid w:val="009B749E"/>
    <w:rsid w:val="009C4DC9"/>
    <w:rsid w:val="009C4F1D"/>
    <w:rsid w:val="009D4942"/>
    <w:rsid w:val="009E16C0"/>
    <w:rsid w:val="009E19F6"/>
    <w:rsid w:val="009E1A2D"/>
    <w:rsid w:val="009E2104"/>
    <w:rsid w:val="009E283B"/>
    <w:rsid w:val="009E2854"/>
    <w:rsid w:val="009F59E6"/>
    <w:rsid w:val="009F6526"/>
    <w:rsid w:val="00A01F09"/>
    <w:rsid w:val="00A031B9"/>
    <w:rsid w:val="00A064BD"/>
    <w:rsid w:val="00A200E3"/>
    <w:rsid w:val="00A216AF"/>
    <w:rsid w:val="00A239C5"/>
    <w:rsid w:val="00A24403"/>
    <w:rsid w:val="00A4056A"/>
    <w:rsid w:val="00A4142E"/>
    <w:rsid w:val="00A42798"/>
    <w:rsid w:val="00A45A64"/>
    <w:rsid w:val="00A46CCA"/>
    <w:rsid w:val="00A47100"/>
    <w:rsid w:val="00A47DE7"/>
    <w:rsid w:val="00A56D0F"/>
    <w:rsid w:val="00A835AF"/>
    <w:rsid w:val="00A9118B"/>
    <w:rsid w:val="00A96601"/>
    <w:rsid w:val="00AB1C36"/>
    <w:rsid w:val="00AB52B5"/>
    <w:rsid w:val="00AC015C"/>
    <w:rsid w:val="00AC68A4"/>
    <w:rsid w:val="00AD5B00"/>
    <w:rsid w:val="00AE369D"/>
    <w:rsid w:val="00B067F4"/>
    <w:rsid w:val="00B17829"/>
    <w:rsid w:val="00B203CA"/>
    <w:rsid w:val="00B2645C"/>
    <w:rsid w:val="00B2742C"/>
    <w:rsid w:val="00B32819"/>
    <w:rsid w:val="00B3393F"/>
    <w:rsid w:val="00B36FAF"/>
    <w:rsid w:val="00B4761C"/>
    <w:rsid w:val="00B530B3"/>
    <w:rsid w:val="00B5440F"/>
    <w:rsid w:val="00B6387C"/>
    <w:rsid w:val="00B6544F"/>
    <w:rsid w:val="00B7212B"/>
    <w:rsid w:val="00B81159"/>
    <w:rsid w:val="00B8365E"/>
    <w:rsid w:val="00B95191"/>
    <w:rsid w:val="00B96951"/>
    <w:rsid w:val="00BA2AE4"/>
    <w:rsid w:val="00BA57E3"/>
    <w:rsid w:val="00BC5F8C"/>
    <w:rsid w:val="00BD0E0B"/>
    <w:rsid w:val="00BD11B5"/>
    <w:rsid w:val="00BD720A"/>
    <w:rsid w:val="00BD7D55"/>
    <w:rsid w:val="00C00AF2"/>
    <w:rsid w:val="00C0364A"/>
    <w:rsid w:val="00C03A0B"/>
    <w:rsid w:val="00C10016"/>
    <w:rsid w:val="00C34A25"/>
    <w:rsid w:val="00C50FEA"/>
    <w:rsid w:val="00C551F6"/>
    <w:rsid w:val="00C74553"/>
    <w:rsid w:val="00C76192"/>
    <w:rsid w:val="00C86D59"/>
    <w:rsid w:val="00C92303"/>
    <w:rsid w:val="00C956C4"/>
    <w:rsid w:val="00CA06B6"/>
    <w:rsid w:val="00CA0A3C"/>
    <w:rsid w:val="00CA1537"/>
    <w:rsid w:val="00CA353B"/>
    <w:rsid w:val="00CB6CFA"/>
    <w:rsid w:val="00CD5FAF"/>
    <w:rsid w:val="00CD7704"/>
    <w:rsid w:val="00CE22FB"/>
    <w:rsid w:val="00CE285A"/>
    <w:rsid w:val="00CE596B"/>
    <w:rsid w:val="00CE692A"/>
    <w:rsid w:val="00CF274E"/>
    <w:rsid w:val="00CF3CF0"/>
    <w:rsid w:val="00D0654A"/>
    <w:rsid w:val="00D25CD6"/>
    <w:rsid w:val="00D267AB"/>
    <w:rsid w:val="00D545F2"/>
    <w:rsid w:val="00D5577A"/>
    <w:rsid w:val="00D5730A"/>
    <w:rsid w:val="00D62C31"/>
    <w:rsid w:val="00D71DDD"/>
    <w:rsid w:val="00D80F58"/>
    <w:rsid w:val="00D81125"/>
    <w:rsid w:val="00D81830"/>
    <w:rsid w:val="00D84A38"/>
    <w:rsid w:val="00D91F9C"/>
    <w:rsid w:val="00D971BC"/>
    <w:rsid w:val="00D97222"/>
    <w:rsid w:val="00D97F9D"/>
    <w:rsid w:val="00DA2C2A"/>
    <w:rsid w:val="00DA6DED"/>
    <w:rsid w:val="00DA76AB"/>
    <w:rsid w:val="00DB1AA2"/>
    <w:rsid w:val="00DB4698"/>
    <w:rsid w:val="00DD3969"/>
    <w:rsid w:val="00DD5724"/>
    <w:rsid w:val="00DD7B1A"/>
    <w:rsid w:val="00DE2763"/>
    <w:rsid w:val="00DE6757"/>
    <w:rsid w:val="00E0233B"/>
    <w:rsid w:val="00E04358"/>
    <w:rsid w:val="00E050A1"/>
    <w:rsid w:val="00E052D6"/>
    <w:rsid w:val="00E053A5"/>
    <w:rsid w:val="00E103D6"/>
    <w:rsid w:val="00E226EF"/>
    <w:rsid w:val="00E23255"/>
    <w:rsid w:val="00E2744E"/>
    <w:rsid w:val="00E44B1A"/>
    <w:rsid w:val="00E46227"/>
    <w:rsid w:val="00E516D9"/>
    <w:rsid w:val="00E56E37"/>
    <w:rsid w:val="00E6101C"/>
    <w:rsid w:val="00E7188D"/>
    <w:rsid w:val="00E72F63"/>
    <w:rsid w:val="00E82F9A"/>
    <w:rsid w:val="00E947DF"/>
    <w:rsid w:val="00EA10AD"/>
    <w:rsid w:val="00EA68F4"/>
    <w:rsid w:val="00EB3B7A"/>
    <w:rsid w:val="00EB42C0"/>
    <w:rsid w:val="00EC34B0"/>
    <w:rsid w:val="00EC4F3E"/>
    <w:rsid w:val="00EC61D3"/>
    <w:rsid w:val="00ED23A9"/>
    <w:rsid w:val="00EE37FE"/>
    <w:rsid w:val="00EE3E5B"/>
    <w:rsid w:val="00EE6898"/>
    <w:rsid w:val="00EF0183"/>
    <w:rsid w:val="00EF2B36"/>
    <w:rsid w:val="00F015BB"/>
    <w:rsid w:val="00F053A9"/>
    <w:rsid w:val="00F07130"/>
    <w:rsid w:val="00F07AB8"/>
    <w:rsid w:val="00F11327"/>
    <w:rsid w:val="00F15715"/>
    <w:rsid w:val="00F260A6"/>
    <w:rsid w:val="00F26F3C"/>
    <w:rsid w:val="00F275B6"/>
    <w:rsid w:val="00F33419"/>
    <w:rsid w:val="00F46BAF"/>
    <w:rsid w:val="00F54153"/>
    <w:rsid w:val="00F62109"/>
    <w:rsid w:val="00F67A13"/>
    <w:rsid w:val="00F760F3"/>
    <w:rsid w:val="00F916B6"/>
    <w:rsid w:val="00F91CE4"/>
    <w:rsid w:val="00F93494"/>
    <w:rsid w:val="00F96AE4"/>
    <w:rsid w:val="00F97D90"/>
    <w:rsid w:val="00FA1374"/>
    <w:rsid w:val="00FA7F87"/>
    <w:rsid w:val="00FB4444"/>
    <w:rsid w:val="00FC1002"/>
    <w:rsid w:val="00FC196B"/>
    <w:rsid w:val="00FC7F20"/>
    <w:rsid w:val="00FD0ACE"/>
    <w:rsid w:val="00FD1FB7"/>
    <w:rsid w:val="00FE07AC"/>
    <w:rsid w:val="00FE232C"/>
    <w:rsid w:val="00FE34A6"/>
    <w:rsid w:val="00FE5162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84C8-E48F-4608-B4A9-56E7D7E3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Болдырева Н.О.</cp:lastModifiedBy>
  <cp:revision>25</cp:revision>
  <cp:lastPrinted>2019-01-28T13:36:00Z</cp:lastPrinted>
  <dcterms:created xsi:type="dcterms:W3CDTF">2018-01-23T08:41:00Z</dcterms:created>
  <dcterms:modified xsi:type="dcterms:W3CDTF">2019-04-23T12:02:00Z</dcterms:modified>
</cp:coreProperties>
</file>