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DD" w:rsidRPr="008A44DD" w:rsidRDefault="008A44DD" w:rsidP="009B4EBB">
      <w:pPr>
        <w:spacing w:after="0" w:line="252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8A44DD">
        <w:rPr>
          <w:rFonts w:ascii="Times New Roman" w:hAnsi="Times New Roman"/>
          <w:sz w:val="28"/>
          <w:szCs w:val="28"/>
        </w:rPr>
        <w:t>УТВЕРЖДЕНЫ</w:t>
      </w:r>
    </w:p>
    <w:p w:rsidR="008A44DD" w:rsidRPr="008A44DD" w:rsidRDefault="008A44DD" w:rsidP="009B4EBB">
      <w:pPr>
        <w:spacing w:after="0" w:line="252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8A44DD">
        <w:rPr>
          <w:rFonts w:ascii="Times New Roman" w:hAnsi="Times New Roman"/>
          <w:sz w:val="28"/>
          <w:szCs w:val="28"/>
        </w:rPr>
        <w:t>распоряжением администрации</w:t>
      </w:r>
    </w:p>
    <w:p w:rsidR="008A44DD" w:rsidRPr="008A44DD" w:rsidRDefault="008A44DD" w:rsidP="009B4EBB">
      <w:pPr>
        <w:spacing w:after="0" w:line="252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8A44DD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9D7940" w:rsidRDefault="008A44DD" w:rsidP="009B4EBB">
      <w:pPr>
        <w:spacing w:after="0" w:line="252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8A44DD">
        <w:rPr>
          <w:rFonts w:ascii="Times New Roman" w:hAnsi="Times New Roman"/>
          <w:sz w:val="28"/>
          <w:szCs w:val="28"/>
        </w:rPr>
        <w:t xml:space="preserve">от </w:t>
      </w:r>
      <w:r w:rsidR="00B91745">
        <w:rPr>
          <w:rFonts w:ascii="Times New Roman" w:hAnsi="Times New Roman"/>
          <w:sz w:val="28"/>
          <w:szCs w:val="28"/>
        </w:rPr>
        <w:t xml:space="preserve">16.11.2023   </w:t>
      </w:r>
      <w:r w:rsidRPr="008A44DD">
        <w:rPr>
          <w:rFonts w:ascii="Times New Roman" w:hAnsi="Times New Roman"/>
          <w:sz w:val="28"/>
          <w:szCs w:val="28"/>
        </w:rPr>
        <w:t xml:space="preserve"> № </w:t>
      </w:r>
      <w:r w:rsidR="00B91745">
        <w:rPr>
          <w:rFonts w:ascii="Times New Roman" w:hAnsi="Times New Roman"/>
          <w:sz w:val="28"/>
          <w:szCs w:val="28"/>
        </w:rPr>
        <w:t>775-р</w:t>
      </w:r>
      <w:bookmarkStart w:id="0" w:name="_GoBack"/>
      <w:bookmarkEnd w:id="0"/>
    </w:p>
    <w:p w:rsidR="008A44DD" w:rsidRPr="008A44DD" w:rsidRDefault="008A44DD" w:rsidP="009B4EBB">
      <w:pPr>
        <w:spacing w:after="0" w:line="252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228F8" w:rsidRPr="008A44DD" w:rsidRDefault="005228F8" w:rsidP="009B4EBB">
      <w:pPr>
        <w:tabs>
          <w:tab w:val="left" w:pos="2714"/>
        </w:tabs>
        <w:spacing w:after="0" w:line="252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56C04" w:rsidRPr="008A44DD" w:rsidRDefault="00156C04" w:rsidP="009B4EB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ИЗМЕНЕНИЯ</w:t>
      </w:r>
    </w:p>
    <w:p w:rsid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ПОРЯДОК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ОПРЕДЕЛЕНИЯ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НОРМАТИВНЫХ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ЗАТРАТ</w:t>
      </w:r>
    </w:p>
    <w:p w:rsid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СФЕРЕ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ОБРАЗОВАНИЯ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И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МОЛОДЕЖНОЙ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ПОЛИТИКИ,</w:t>
      </w:r>
    </w:p>
    <w:p w:rsid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ПРИМЕНЯЕМЫХ</w:t>
      </w:r>
      <w:proofErr w:type="gramEnd"/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ПРИ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РАСЧЕТЕ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ОБЪЕМА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СУБСИДИИ</w:t>
      </w:r>
    </w:p>
    <w:p w:rsid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НА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ФИНАНСОВОЕ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ОБЕСПЕЧЕНИЕ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ВЫПОЛНЕНИЯ</w:t>
      </w:r>
    </w:p>
    <w:p w:rsid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ЗАДАНИЯ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НА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ОКАЗАНИЕ</w:t>
      </w:r>
    </w:p>
    <w:p w:rsid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МУНИЦИПАЛЬНЫХ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УСЛУГ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(ВЫПОЛНЕНИЕ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РАБОТ)</w:t>
      </w:r>
    </w:p>
    <w:p w:rsid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МУНИЦИПАЛЬНЫМИ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УЧРЕЖДЕНИЯМИ</w:t>
      </w:r>
    </w:p>
    <w:p w:rsidR="00156C04" w:rsidRPr="008A44DD" w:rsidRDefault="00A94592" w:rsidP="009B4EBB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ГОРОДСКОГО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ОКРУГА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ГОРОД </w:t>
      </w:r>
      <w:r w:rsid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ВОРОНЕЖ</w:t>
      </w:r>
    </w:p>
    <w:p w:rsidR="007E0B6A" w:rsidRPr="008A44DD" w:rsidRDefault="007E0B6A" w:rsidP="009B4EBB">
      <w:pPr>
        <w:autoSpaceDE w:val="0"/>
        <w:autoSpaceDN w:val="0"/>
        <w:adjustRightInd w:val="0"/>
        <w:spacing w:after="0" w:line="252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DE1848" w:rsidRPr="008A44DD" w:rsidRDefault="008A44DD" w:rsidP="009B4EBB">
      <w:pPr>
        <w:pStyle w:val="a9"/>
        <w:tabs>
          <w:tab w:val="left" w:pos="0"/>
        </w:tabs>
        <w:spacing w:after="0" w:line="37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7E0B6A" w:rsidRPr="008A44DD">
        <w:rPr>
          <w:rFonts w:ascii="Times New Roman" w:hAnsi="Times New Roman"/>
          <w:color w:val="000000" w:themeColor="text1"/>
          <w:sz w:val="28"/>
          <w:szCs w:val="28"/>
        </w:rPr>
        <w:t>Название Порядка определения нормативных затрат в сфере образования и молодежной политики,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муниципальными учреждениями городского округа город Воронеж (далее – Порядок)</w:t>
      </w:r>
      <w:r w:rsidR="00A7189D" w:rsidRPr="008A44D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E0B6A" w:rsidRPr="008A44DD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7E0B6A" w:rsidRPr="009B4EBB" w:rsidRDefault="007E0B6A" w:rsidP="009B4EBB">
      <w:pPr>
        <w:pStyle w:val="a9"/>
        <w:tabs>
          <w:tab w:val="left" w:pos="0"/>
        </w:tabs>
        <w:spacing w:after="0" w:line="372" w:lineRule="auto"/>
        <w:ind w:left="0"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«Порядок определения нормативных затрат в сфере образования и</w:t>
      </w:r>
      <w:r w:rsidR="009B4EBB" w:rsidRP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молодежной политики, применяемых при расчете объема субсидии на</w:t>
      </w:r>
      <w:r w:rsidR="009B4EBB" w:rsidRP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финансовое обеспечение выполнения муниципального задания на</w:t>
      </w:r>
      <w:r w:rsid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оказание муниципальных услуг (выполнение работ) муниципальными учреждениями городского округа город Воронеж и на оказание муниципальных услуг в</w:t>
      </w:r>
      <w:r w:rsid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9B4EBB">
        <w:rPr>
          <w:rFonts w:ascii="Times New Roman" w:hAnsi="Times New Roman"/>
          <w:color w:val="000000" w:themeColor="text1"/>
          <w:spacing w:val="-4"/>
          <w:sz w:val="28"/>
          <w:szCs w:val="28"/>
        </w:rPr>
        <w:t>социальной сфере в соответствии с социальным заказом».</w:t>
      </w:r>
    </w:p>
    <w:p w:rsidR="00124A00" w:rsidRPr="008A44DD" w:rsidRDefault="008A44DD" w:rsidP="009B4EBB">
      <w:pPr>
        <w:pStyle w:val="a9"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2. </w:t>
      </w:r>
      <w:r w:rsidR="00124A0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разделе 1 «Общие положения» </w:t>
      </w:r>
      <w:r w:rsidR="00FB4786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Порядка</w:t>
      </w:r>
      <w:r w:rsidR="00124A0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4A5C90" w:rsidRPr="008A44DD" w:rsidRDefault="008A44DD" w:rsidP="009B4EBB">
      <w:pPr>
        <w:pStyle w:val="a9"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2.1. </w:t>
      </w:r>
      <w:r w:rsidR="00124A0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1.1</w:t>
      </w:r>
      <w:r w:rsidR="00AB188B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716B7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изложить  в  следующей редакции:</w:t>
      </w:r>
    </w:p>
    <w:p w:rsidR="007716B7" w:rsidRPr="008A44DD" w:rsidRDefault="007716B7" w:rsidP="009B4EBB">
      <w:pPr>
        <w:pStyle w:val="a9"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124A0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1.1</w:t>
      </w:r>
      <w:r w:rsidR="00775C59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Настоящий Порядок разработан в соответствии с положениями абзаца второго пункта 4 статьи 69.2 Бюджетного кодекса Российской Федерации, Федерального закона от 13.07.2020 №</w:t>
      </w:r>
      <w:r w:rsidR="007E0B6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189-ФЗ «О</w:t>
      </w:r>
      <w:r w:rsidR="009B4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государственном (муниципальном) социальном заказе на оказание государственных (муниципальных) услуг в социальной сфере»</w:t>
      </w:r>
      <w:r w:rsidR="00124A0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риказа Министерства просвещения Российской Федерации от 22.09.2021 №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662 «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</w:t>
      </w:r>
      <w:r w:rsidR="009B4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утверждении общих требований к определению нормативных затрат на</w:t>
      </w:r>
      <w:r w:rsidR="009B4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оказание государственных (муниципальных) услуг в сфере дошкольного, начального</w:t>
      </w:r>
      <w:proofErr w:type="gramEnd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общего, основного общего, среднего общего, среднего профессионального образования, дополнительного образования детей и</w:t>
      </w:r>
      <w:r w:rsidR="009B4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 расчете объема субсидии на финансовое обеспечение выполнения государственного (муниципального) задания на</w:t>
      </w:r>
      <w:r w:rsidR="009B4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оказание государственных (муниципальных) услуг (выполнение работ) государственным (муниципал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ьным) учреждением»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постановления администрации городского округа город Воронеж от</w:t>
      </w:r>
      <w:proofErr w:type="gramEnd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07.12.2015 №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897 «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</w:t>
      </w:r>
      <w:r w:rsidR="009B4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город Воронеж и финансового обеспечения вы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полнения муниципального задания»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целях установления порядка определения нормативных затрат на оказание муниципальных услуг (выполнение работ), применяемых при определении объема финансового обеспечения выполнения муниципальных заданий на оказание муниципальных услуг (выполнение работ) (далее 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муниципальные задания) муниципальными учреждениями</w:t>
      </w:r>
      <w:proofErr w:type="gramEnd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город Воронеж (далее 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775C59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учреждения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3C736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объема финансового обеспечения муниципального социального заказа, в целях исполнения которого осуществляется отбор исполнителей услуг</w:t>
      </w:r>
      <w:proofErr w:type="gramStart"/>
      <w:r w:rsidR="00124A0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.»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C9335E" w:rsidRPr="008A44DD" w:rsidRDefault="008A44DD" w:rsidP="009B4EBB">
      <w:pPr>
        <w:pStyle w:val="a9"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2.2. </w:t>
      </w:r>
      <w:r w:rsidR="00C9335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1.2 изложить в следующей редакции:</w:t>
      </w:r>
    </w:p>
    <w:p w:rsidR="00C9335E" w:rsidRPr="008A44DD" w:rsidRDefault="00C9335E" w:rsidP="009B4EBB">
      <w:pPr>
        <w:pStyle w:val="a9"/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«1.2.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Объем финансового обеспечения выполнения муниципального задания учреждением определяется по формуле:</w:t>
      </w:r>
    </w:p>
    <w:p w:rsidR="00C9335E" w:rsidRPr="008A44DD" w:rsidRDefault="00C9335E" w:rsidP="009B4EBB">
      <w:pPr>
        <w:pStyle w:val="a9"/>
        <w:autoSpaceDE w:val="0"/>
        <w:autoSpaceDN w:val="0"/>
        <w:adjustRightInd w:val="0"/>
        <w:spacing w:after="0" w:line="372" w:lineRule="auto"/>
        <w:ind w:left="0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w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- 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ун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доп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,</m:t>
        </m:r>
      </m:oMath>
      <w:r w:rsidRPr="008A44DD">
        <w:rPr>
          <w:rFonts w:ascii="Times New Roman" w:hAnsi="Times New Roman"/>
          <w:sz w:val="28"/>
          <w:szCs w:val="28"/>
        </w:rPr>
        <w:t xml:space="preserve"> где:</w:t>
      </w:r>
    </w:p>
    <w:p w:rsidR="00C9335E" w:rsidRPr="008A44DD" w:rsidRDefault="00C9335E" w:rsidP="009B4EBB">
      <w:pPr>
        <w:pStyle w:val="ConsPlusNormal"/>
        <w:tabs>
          <w:tab w:val="left" w:pos="851"/>
        </w:tabs>
        <w:spacing w:line="372" w:lineRule="auto"/>
        <w:ind w:firstLine="851"/>
        <w:jc w:val="both"/>
        <w:rPr>
          <w:sz w:val="28"/>
          <w:szCs w:val="28"/>
        </w:rPr>
      </w:pPr>
      <w:proofErr w:type="spellStart"/>
      <w:r w:rsidRPr="008A44DD">
        <w:rPr>
          <w:sz w:val="28"/>
          <w:szCs w:val="28"/>
        </w:rPr>
        <w:t>N</w:t>
      </w:r>
      <w:r w:rsidRPr="008A44DD">
        <w:rPr>
          <w:sz w:val="28"/>
          <w:szCs w:val="28"/>
          <w:vertAlign w:val="subscript"/>
        </w:rPr>
        <w:t>i</w:t>
      </w:r>
      <w:proofErr w:type="spellEnd"/>
      <w:r w:rsidR="009B4EBB">
        <w:rPr>
          <w:sz w:val="28"/>
          <w:szCs w:val="28"/>
        </w:rPr>
        <w:t> </w:t>
      </w:r>
      <w:r w:rsidR="00BE63D1" w:rsidRPr="008A44DD">
        <w:rPr>
          <w:sz w:val="28"/>
          <w:szCs w:val="28"/>
        </w:rPr>
        <w:t>–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нормативные затраты на оказание i-й муниципальной услуги;</w:t>
      </w:r>
    </w:p>
    <w:p w:rsidR="00C9335E" w:rsidRPr="008A44DD" w:rsidRDefault="00C9335E" w:rsidP="009B4EBB">
      <w:pPr>
        <w:pStyle w:val="ConsPlusNormal"/>
        <w:tabs>
          <w:tab w:val="left" w:pos="851"/>
        </w:tabs>
        <w:spacing w:line="372" w:lineRule="auto"/>
        <w:ind w:firstLine="851"/>
        <w:jc w:val="both"/>
        <w:rPr>
          <w:sz w:val="28"/>
          <w:szCs w:val="28"/>
        </w:rPr>
      </w:pPr>
      <w:proofErr w:type="spellStart"/>
      <w:r w:rsidRPr="008A44DD">
        <w:rPr>
          <w:sz w:val="28"/>
          <w:szCs w:val="28"/>
        </w:rPr>
        <w:t>V</w:t>
      </w:r>
      <w:r w:rsidRPr="008A44DD">
        <w:rPr>
          <w:sz w:val="28"/>
          <w:szCs w:val="28"/>
          <w:vertAlign w:val="subscript"/>
        </w:rPr>
        <w:t>i</w:t>
      </w:r>
      <w:proofErr w:type="spellEnd"/>
      <w:r w:rsidR="009B4EBB">
        <w:rPr>
          <w:sz w:val="28"/>
          <w:szCs w:val="28"/>
        </w:rPr>
        <w:t> </w:t>
      </w:r>
      <w:r w:rsidR="00BE63D1" w:rsidRPr="008A44DD">
        <w:rPr>
          <w:sz w:val="28"/>
          <w:szCs w:val="28"/>
        </w:rPr>
        <w:t>–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объем i-й муниципальной услуги, установленной муниципальным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заданием;</w:t>
      </w:r>
    </w:p>
    <w:p w:rsidR="00C9335E" w:rsidRPr="008A44DD" w:rsidRDefault="00C9335E" w:rsidP="009B4EBB">
      <w:pPr>
        <w:pStyle w:val="ConsPlusNormal"/>
        <w:tabs>
          <w:tab w:val="left" w:pos="851"/>
        </w:tabs>
        <w:spacing w:line="372" w:lineRule="auto"/>
        <w:ind w:firstLine="851"/>
        <w:jc w:val="both"/>
        <w:rPr>
          <w:sz w:val="28"/>
          <w:szCs w:val="28"/>
        </w:rPr>
      </w:pPr>
      <w:proofErr w:type="spellStart"/>
      <w:r w:rsidRPr="008A44DD">
        <w:rPr>
          <w:sz w:val="28"/>
          <w:szCs w:val="28"/>
        </w:rPr>
        <w:t>N</w:t>
      </w:r>
      <w:r w:rsidRPr="008A44DD">
        <w:rPr>
          <w:sz w:val="28"/>
          <w:szCs w:val="28"/>
          <w:vertAlign w:val="subscript"/>
        </w:rPr>
        <w:t>w</w:t>
      </w:r>
      <w:proofErr w:type="spellEnd"/>
      <w:r w:rsidR="009B4EBB">
        <w:rPr>
          <w:sz w:val="28"/>
          <w:szCs w:val="28"/>
        </w:rPr>
        <w:t> </w:t>
      </w:r>
      <w:r w:rsidR="00BE63D1" w:rsidRPr="008A44DD">
        <w:rPr>
          <w:sz w:val="28"/>
          <w:szCs w:val="28"/>
        </w:rPr>
        <w:t>–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нормативные затраты на выполнение w-й работы;</w:t>
      </w:r>
    </w:p>
    <w:p w:rsidR="00C9335E" w:rsidRPr="008A44DD" w:rsidRDefault="00C9335E" w:rsidP="009B4EBB">
      <w:pPr>
        <w:pStyle w:val="ConsPlusNormal"/>
        <w:tabs>
          <w:tab w:val="left" w:pos="851"/>
        </w:tabs>
        <w:spacing w:line="372" w:lineRule="auto"/>
        <w:ind w:firstLine="851"/>
        <w:jc w:val="both"/>
        <w:rPr>
          <w:sz w:val="28"/>
          <w:szCs w:val="28"/>
        </w:rPr>
      </w:pPr>
      <w:proofErr w:type="spellStart"/>
      <w:r w:rsidRPr="008A44DD">
        <w:rPr>
          <w:sz w:val="28"/>
          <w:szCs w:val="28"/>
        </w:rPr>
        <w:t>P</w:t>
      </w:r>
      <w:r w:rsidRPr="008A44DD">
        <w:rPr>
          <w:sz w:val="28"/>
          <w:szCs w:val="28"/>
          <w:vertAlign w:val="subscript"/>
        </w:rPr>
        <w:t>i</w:t>
      </w:r>
      <w:proofErr w:type="spellEnd"/>
      <w:r w:rsidR="009B4EBB">
        <w:rPr>
          <w:sz w:val="28"/>
          <w:szCs w:val="28"/>
        </w:rPr>
        <w:t> </w:t>
      </w:r>
      <w:r w:rsidR="00BE63D1" w:rsidRPr="008A44DD">
        <w:rPr>
          <w:sz w:val="28"/>
          <w:szCs w:val="28"/>
        </w:rPr>
        <w:t>–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 xml:space="preserve">размер платы (тариф и цена) за оказание i-й муниципальной услуги в соответствии с </w:t>
      </w:r>
      <w:hyperlink w:anchor="P88">
        <w:r w:rsidRPr="008A44DD">
          <w:rPr>
            <w:sz w:val="28"/>
            <w:szCs w:val="28"/>
          </w:rPr>
          <w:t>пунктом 1.4</w:t>
        </w:r>
      </w:hyperlink>
      <w:r w:rsidRPr="008A44DD">
        <w:rPr>
          <w:sz w:val="28"/>
          <w:szCs w:val="28"/>
        </w:rPr>
        <w:t xml:space="preserve"> настоящего Порядка, установленный муниципальным заданием;</w:t>
      </w:r>
    </w:p>
    <w:p w:rsidR="00C9335E" w:rsidRPr="008A44DD" w:rsidRDefault="00C9335E" w:rsidP="009B4EBB">
      <w:pPr>
        <w:pStyle w:val="ConsPlusNormal"/>
        <w:tabs>
          <w:tab w:val="left" w:pos="851"/>
        </w:tabs>
        <w:spacing w:line="372" w:lineRule="auto"/>
        <w:ind w:firstLine="851"/>
        <w:jc w:val="both"/>
        <w:rPr>
          <w:sz w:val="28"/>
          <w:szCs w:val="28"/>
        </w:rPr>
      </w:pPr>
      <w:proofErr w:type="gramStart"/>
      <w:r w:rsidRPr="008A44DD">
        <w:rPr>
          <w:sz w:val="28"/>
          <w:szCs w:val="28"/>
        </w:rPr>
        <w:t>N</w:t>
      </w:r>
      <w:proofErr w:type="gramEnd"/>
      <w:r w:rsidRPr="008A44DD">
        <w:rPr>
          <w:sz w:val="28"/>
          <w:szCs w:val="28"/>
          <w:vertAlign w:val="superscript"/>
        </w:rPr>
        <w:t>УН</w:t>
      </w:r>
      <w:r w:rsidR="009B4EBB">
        <w:rPr>
          <w:sz w:val="28"/>
          <w:szCs w:val="28"/>
        </w:rPr>
        <w:t> </w:t>
      </w:r>
      <w:r w:rsidR="00BE63D1" w:rsidRPr="008A44DD">
        <w:rPr>
          <w:sz w:val="28"/>
          <w:szCs w:val="28"/>
        </w:rPr>
        <w:t>–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затраты на уплату налогов, в качестве объекта налогообложения по которым признается имущество учреждения;</w:t>
      </w:r>
    </w:p>
    <w:p w:rsidR="00C9335E" w:rsidRPr="008A44DD" w:rsidRDefault="00C9335E" w:rsidP="009B4EBB">
      <w:pPr>
        <w:pStyle w:val="ConsPlusNormal"/>
        <w:tabs>
          <w:tab w:val="left" w:pos="851"/>
        </w:tabs>
        <w:spacing w:line="372" w:lineRule="auto"/>
        <w:ind w:firstLine="851"/>
        <w:jc w:val="both"/>
        <w:rPr>
          <w:sz w:val="28"/>
          <w:szCs w:val="28"/>
        </w:rPr>
      </w:pPr>
      <w:proofErr w:type="spellStart"/>
      <w:r w:rsidRPr="008A44DD">
        <w:rPr>
          <w:sz w:val="28"/>
          <w:szCs w:val="28"/>
        </w:rPr>
        <w:t>N</w:t>
      </w:r>
      <w:r w:rsidRPr="008A44DD">
        <w:rPr>
          <w:sz w:val="28"/>
          <w:szCs w:val="28"/>
          <w:vertAlign w:val="superscript"/>
        </w:rPr>
        <w:t>доп</w:t>
      </w:r>
      <w:proofErr w:type="spellEnd"/>
      <w:r w:rsidR="009B4EBB" w:rsidRP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–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дополнительные затрат</w:t>
      </w:r>
      <w:r w:rsidR="00BE63D1" w:rsidRPr="008A44DD">
        <w:rPr>
          <w:sz w:val="28"/>
          <w:szCs w:val="28"/>
        </w:rPr>
        <w:t>ы муниципального учреждения</w:t>
      </w:r>
      <w:r w:rsidRPr="008A44DD">
        <w:rPr>
          <w:sz w:val="28"/>
          <w:szCs w:val="28"/>
        </w:rPr>
        <w:t xml:space="preserve"> на</w:t>
      </w:r>
      <w:r w:rsidR="009B4EBB">
        <w:rPr>
          <w:sz w:val="28"/>
          <w:szCs w:val="28"/>
        </w:rPr>
        <w:t> </w:t>
      </w:r>
      <w:r w:rsidRPr="008A44DD">
        <w:rPr>
          <w:sz w:val="28"/>
          <w:szCs w:val="28"/>
        </w:rPr>
        <w:t>реализацию изменений федерального, регионального и муниципального законодательства и осуществление непредвиденных расходов в рамках выполнения муниципального задания</w:t>
      </w:r>
      <w:proofErr w:type="gramStart"/>
      <w:r w:rsidRPr="008A44DD">
        <w:rPr>
          <w:sz w:val="28"/>
          <w:szCs w:val="28"/>
        </w:rPr>
        <w:t>.».</w:t>
      </w:r>
      <w:proofErr w:type="gramEnd"/>
    </w:p>
    <w:p w:rsidR="00C9335E" w:rsidRPr="008A44DD" w:rsidRDefault="008A44DD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2.3. </w:t>
      </w:r>
      <w:r w:rsidR="00C9335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1.5 изложить в следующей редакции:</w:t>
      </w:r>
    </w:p>
    <w:p w:rsidR="00C9335E" w:rsidRPr="008A44DD" w:rsidRDefault="00C9335E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FB4786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1.5.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71E9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Нормативные затраты на оказание i-й услуги в рамках 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социального заказа, в целях исполнения которого осуществляется отбор исполнителей услуг</w:t>
      </w:r>
      <w:r w:rsidR="00247945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1E9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соответствуют базовому нормативу затрат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1E9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i-й муниципальной услуги, рассчитанно</w:t>
      </w:r>
      <w:r w:rsidR="00E277C7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</w:t>
      </w:r>
      <w:r w:rsidR="00C71E9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основании настоящего Порядка</w:t>
      </w:r>
      <w:proofErr w:type="gramStart"/>
      <w:r w:rsidR="00247945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9D656E" w:rsidRPr="008A44DD" w:rsidRDefault="008A44DD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2.4. </w:t>
      </w:r>
      <w:r w:rsidR="009D656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1.6 изложить в следующей редакции:</w:t>
      </w:r>
    </w:p>
    <w:p w:rsidR="009D656E" w:rsidRPr="008A44DD" w:rsidRDefault="009D656E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«1.6.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Нормативные затраты на оказание i-й муниципальной услуги определяются:</w:t>
      </w:r>
    </w:p>
    <w:p w:rsidR="009D656E" w:rsidRPr="008A44DD" w:rsidRDefault="009D656E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исходя из содержащейся в общероссийском базовом (отраслевом) перечне (классификаторе) государственных и муниципальных услуг, оказываемых физическим лицам, в соответствующих региональных перечнях (классификаторах) государственных (муниципальных) услуг и работ, оказание и выполнение которых предусмотрено нормативными правовыми актами субъекта Российской Федерации (муниципальными правовыми актами)</w:t>
      </w:r>
      <w:r w:rsidR="00BE63D1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информации о содержании и (или) условиях (формах) оказания государственной (муниципальной) услуги;</w:t>
      </w:r>
      <w:proofErr w:type="gramEnd"/>
    </w:p>
    <w:p w:rsidR="009D656E" w:rsidRPr="008A44DD" w:rsidRDefault="009D656E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основе базового норматива затрат на оказание i-й муниципальной услуги в сфере образования и молодежной политики и корректирующих коэффициентов к базовым нормативам затрат</w:t>
      </w: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9D656E" w:rsidRPr="008A44DD" w:rsidRDefault="00BE63D1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9D656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9D656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пункте 1.7</w:t>
      </w:r>
      <w:r w:rsidR="00FB4786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D656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слова «</w:t>
      </w:r>
      <w:r w:rsidR="00E277C7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BC302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нормативные затраты</w:t>
      </w:r>
      <w:r w:rsidR="00D8418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BC302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содержание имущества» исключить. </w:t>
      </w:r>
    </w:p>
    <w:p w:rsidR="00C32960" w:rsidRPr="008A44DD" w:rsidRDefault="00BE63D1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C32960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0B496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пункте 1.12</w:t>
      </w:r>
      <w:r w:rsidR="00FB4786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B496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слова «</w:t>
      </w:r>
      <w:r w:rsidR="00E277C7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B496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нормативны</w:t>
      </w:r>
      <w:r w:rsidR="00E277C7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="000B496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затрат</w:t>
      </w:r>
      <w:r w:rsidR="00D8418E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0B496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содержание имущества» исключить.</w:t>
      </w:r>
    </w:p>
    <w:p w:rsidR="001E7974" w:rsidRPr="008A44DD" w:rsidRDefault="00BE63D1" w:rsidP="009B4EBB">
      <w:pPr>
        <w:pStyle w:val="a9"/>
        <w:autoSpaceDE w:val="0"/>
        <w:autoSpaceDN w:val="0"/>
        <w:adjustRightInd w:val="0"/>
        <w:spacing w:after="0" w:line="37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разделе 2 «Методика расчета нормативных затрат в сфере образования и молодежной политики» Порядка:</w:t>
      </w:r>
    </w:p>
    <w:p w:rsidR="005E3FEA" w:rsidRPr="008A44DD" w:rsidRDefault="00775C59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</w:t>
      </w:r>
      <w:r w:rsidR="005E3FE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E3FE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</w:t>
      </w:r>
      <w:r w:rsidR="00FB4786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2.9 </w:t>
      </w:r>
      <w:r w:rsidR="005E3FE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2.9.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коммунальные услуги определяются обособленно по</w:t>
      </w:r>
      <w:r w:rsidR="009B4E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видам энергетических ресурсов, исходя из нормативов потребления коммунальных услуг с учетом требований обеспечения </w:t>
      </w:r>
      <w:proofErr w:type="spell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энергоэффективности</w:t>
      </w:r>
      <w:proofErr w:type="spellEnd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i-й муниципальной услуги особо ценного движимого и недвижимого имущества:</w:t>
      </w:r>
      <w:proofErr w:type="gramEnd"/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холодное водоснабжение и водоотведение;</w:t>
      </w:r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горячее водоснабжение;</w:t>
      </w:r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теплоснабжение;</w:t>
      </w:r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электроснабжение;</w:t>
      </w:r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вывоз твердых коммунальных отходов.</w:t>
      </w:r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коммунальные услуги для i-й муниципальной услуги рассчитываются по следующей формуле:</w:t>
      </w:r>
    </w:p>
    <w:p w:rsidR="009B4EBB" w:rsidRDefault="005E3FEA" w:rsidP="009B4EBB">
      <w:pPr>
        <w:autoSpaceDE w:val="0"/>
        <w:autoSpaceDN w:val="0"/>
        <w:adjustRightInd w:val="0"/>
        <w:spacing w:after="0" w:line="372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eastAsiaTheme="minorHAnsi" w:hAnsi="Times New Roman"/>
          <w:noProof/>
          <w:position w:val="-16"/>
          <w:sz w:val="28"/>
          <w:szCs w:val="28"/>
          <w:lang w:eastAsia="ru-RU"/>
        </w:rPr>
        <w:drawing>
          <wp:inline distT="0" distB="0" distL="0" distR="0" wp14:anchorId="74E6F9CF" wp14:editId="5C0A6F03">
            <wp:extent cx="2009775" cy="3714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EBB" w:rsidRDefault="009B4EBB" w:rsidP="009B4EBB">
      <w:pPr>
        <w:autoSpaceDE w:val="0"/>
        <w:autoSpaceDN w:val="0"/>
        <w:adjustRightInd w:val="0"/>
        <w:spacing w:after="0" w:line="372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E3FEA" w:rsidRPr="008A44DD" w:rsidRDefault="005E3FEA" w:rsidP="009B4EB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где:</w:t>
      </w:r>
    </w:p>
    <w:p w:rsidR="005E3FEA" w:rsidRPr="008A44DD" w:rsidRDefault="00BE63D1" w:rsidP="009B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8F2A0D2" wp14:editId="6F108143">
            <wp:extent cx="279400" cy="2762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FE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значение натуральной нормы потребления (расхода) w-й коммунальной услуги, учитываемой при расчете базового норматива затрат на общехозяйственные нужды на оказание i-й муниципальной услуги;</w:t>
      </w:r>
    </w:p>
    <w:p w:rsidR="005E3FEA" w:rsidRPr="008A44DD" w:rsidRDefault="00BE63D1" w:rsidP="009B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22AFCA47" wp14:editId="4CEFD60A">
            <wp:extent cx="325120" cy="2762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FE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 стоимость (цена, тариф) w-й коммунальной услуги, учитываемой при расчете базового норматива затрат на общехозяйственные нужды на оказание i-й муниципальной услуги в соответствующем финансовом году.</w:t>
      </w:r>
    </w:p>
    <w:p w:rsidR="00156C04" w:rsidRPr="008A44DD" w:rsidRDefault="005E3FEA" w:rsidP="009B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Стоимость (цена, тариф) w-й коммунальной услуги, учитываемой при расчете базового норматива затрат на общехозяйственные нужды на оказание i-й муниципальной услуги, определяется в соответствии с положениями пункта 2.6 настоящего Порядка</w:t>
      </w: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5E3FEA" w:rsidRPr="008A44DD" w:rsidRDefault="00775C59" w:rsidP="009B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.2</w:t>
      </w:r>
      <w:r w:rsidR="005E3FE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5E3FEA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2.10 изложить в следующей редакции:</w:t>
      </w:r>
    </w:p>
    <w:p w:rsidR="005E3FEA" w:rsidRPr="008A44DD" w:rsidRDefault="005E3FEA" w:rsidP="009B4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1E7974"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2.10.</w:t>
      </w:r>
      <w:r w:rsid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Затраты на содержание объектов недвижимого имущества включают в себя нормативные затраты на эксплуатацию недвижимого имущества</w:t>
      </w:r>
      <w:proofErr w:type="gramStart"/>
      <w:r w:rsidRPr="008A44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EE44EA" w:rsidRPr="008A44DD" w:rsidRDefault="00EE44EA" w:rsidP="009B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E44EA" w:rsidRPr="008A44DD" w:rsidRDefault="00EE44EA" w:rsidP="009B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E44EA" w:rsidRPr="008A44DD" w:rsidRDefault="00EE44EA" w:rsidP="009B4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B4EBB" w:rsidTr="009B4EBB">
        <w:tc>
          <w:tcPr>
            <w:tcW w:w="4785" w:type="dxa"/>
          </w:tcPr>
          <w:p w:rsidR="009B4EBB" w:rsidRPr="008A44DD" w:rsidRDefault="009B4EBB" w:rsidP="009B4E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44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управления</w:t>
            </w:r>
          </w:p>
          <w:p w:rsidR="009B4EBB" w:rsidRDefault="009B4EBB" w:rsidP="009B4E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44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785" w:type="dxa"/>
          </w:tcPr>
          <w:p w:rsidR="009B4EBB" w:rsidRDefault="009B4EBB" w:rsidP="009B4EB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B4EBB" w:rsidRDefault="009B4EBB" w:rsidP="009B4EB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44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Л.А. Кулакова</w:t>
            </w:r>
          </w:p>
        </w:tc>
      </w:tr>
    </w:tbl>
    <w:p w:rsidR="009D7940" w:rsidRPr="008A44DD" w:rsidRDefault="009D7940" w:rsidP="009B4EB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D7940" w:rsidRPr="008A44DD" w:rsidSect="008A44DD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D9" w:rsidRDefault="007003D9" w:rsidP="006529F7">
      <w:pPr>
        <w:spacing w:after="0" w:line="240" w:lineRule="auto"/>
      </w:pPr>
      <w:r>
        <w:separator/>
      </w:r>
    </w:p>
  </w:endnote>
  <w:endnote w:type="continuationSeparator" w:id="0">
    <w:p w:rsidR="007003D9" w:rsidRDefault="007003D9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D9" w:rsidRDefault="007003D9" w:rsidP="006529F7">
      <w:pPr>
        <w:spacing w:after="0" w:line="240" w:lineRule="auto"/>
      </w:pPr>
      <w:r>
        <w:separator/>
      </w:r>
    </w:p>
  </w:footnote>
  <w:footnote w:type="continuationSeparator" w:id="0">
    <w:p w:rsidR="007003D9" w:rsidRDefault="007003D9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Pr="009B4EBB" w:rsidRDefault="009B453E">
    <w:pPr>
      <w:pStyle w:val="a3"/>
      <w:jc w:val="center"/>
      <w:rPr>
        <w:rFonts w:ascii="Times New Roman" w:hAnsi="Times New Roman"/>
        <w:sz w:val="24"/>
        <w:szCs w:val="24"/>
      </w:rPr>
    </w:pPr>
    <w:r w:rsidRPr="009B4EBB">
      <w:rPr>
        <w:rFonts w:ascii="Times New Roman" w:hAnsi="Times New Roman"/>
        <w:sz w:val="24"/>
        <w:szCs w:val="24"/>
      </w:rPr>
      <w:fldChar w:fldCharType="begin"/>
    </w:r>
    <w:r w:rsidRPr="009B4EBB">
      <w:rPr>
        <w:rFonts w:ascii="Times New Roman" w:hAnsi="Times New Roman"/>
        <w:sz w:val="24"/>
        <w:szCs w:val="24"/>
      </w:rPr>
      <w:instrText>PAGE   \* MERGEFORMAT</w:instrText>
    </w:r>
    <w:r w:rsidRPr="009B4EBB">
      <w:rPr>
        <w:rFonts w:ascii="Times New Roman" w:hAnsi="Times New Roman"/>
        <w:sz w:val="24"/>
        <w:szCs w:val="24"/>
      </w:rPr>
      <w:fldChar w:fldCharType="separate"/>
    </w:r>
    <w:r w:rsidR="00B91745">
      <w:rPr>
        <w:rFonts w:ascii="Times New Roman" w:hAnsi="Times New Roman"/>
        <w:noProof/>
        <w:sz w:val="24"/>
        <w:szCs w:val="24"/>
      </w:rPr>
      <w:t>2</w:t>
    </w:r>
    <w:r w:rsidRPr="009B4EBB">
      <w:rPr>
        <w:rFonts w:ascii="Times New Roman" w:hAnsi="Times New Roman"/>
        <w:sz w:val="24"/>
        <w:szCs w:val="24"/>
      </w:rPr>
      <w:fldChar w:fldCharType="end"/>
    </w:r>
  </w:p>
  <w:p w:rsidR="009B453E" w:rsidRPr="009B4EBB" w:rsidRDefault="009B453E">
    <w:pPr>
      <w:pStyle w:val="a3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74A"/>
    <w:multiLevelType w:val="hybridMultilevel"/>
    <w:tmpl w:val="C76645AE"/>
    <w:lvl w:ilvl="0" w:tplc="1EF037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561FCF"/>
    <w:multiLevelType w:val="multilevel"/>
    <w:tmpl w:val="47282684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F7"/>
    <w:rsid w:val="0000039A"/>
    <w:rsid w:val="00005D1C"/>
    <w:rsid w:val="00010A44"/>
    <w:rsid w:val="000242FD"/>
    <w:rsid w:val="000338E9"/>
    <w:rsid w:val="000423C9"/>
    <w:rsid w:val="000A745A"/>
    <w:rsid w:val="000B496A"/>
    <w:rsid w:val="000D4886"/>
    <w:rsid w:val="001076C1"/>
    <w:rsid w:val="00124A00"/>
    <w:rsid w:val="00156C04"/>
    <w:rsid w:val="001655A6"/>
    <w:rsid w:val="00165DBD"/>
    <w:rsid w:val="00167304"/>
    <w:rsid w:val="00180742"/>
    <w:rsid w:val="001921A9"/>
    <w:rsid w:val="00196BE0"/>
    <w:rsid w:val="001A192E"/>
    <w:rsid w:val="001D66D0"/>
    <w:rsid w:val="001E7974"/>
    <w:rsid w:val="001F01CA"/>
    <w:rsid w:val="002027C1"/>
    <w:rsid w:val="00230788"/>
    <w:rsid w:val="00246829"/>
    <w:rsid w:val="00247945"/>
    <w:rsid w:val="002524DA"/>
    <w:rsid w:val="00253556"/>
    <w:rsid w:val="002932E5"/>
    <w:rsid w:val="002C63C8"/>
    <w:rsid w:val="00332047"/>
    <w:rsid w:val="003332A1"/>
    <w:rsid w:val="00353430"/>
    <w:rsid w:val="0036054D"/>
    <w:rsid w:val="0038574C"/>
    <w:rsid w:val="003C736E"/>
    <w:rsid w:val="003E709A"/>
    <w:rsid w:val="00400490"/>
    <w:rsid w:val="004039E5"/>
    <w:rsid w:val="0043386D"/>
    <w:rsid w:val="00440DA9"/>
    <w:rsid w:val="00450395"/>
    <w:rsid w:val="00485EA0"/>
    <w:rsid w:val="004A5C90"/>
    <w:rsid w:val="004C4879"/>
    <w:rsid w:val="004E0243"/>
    <w:rsid w:val="004E2863"/>
    <w:rsid w:val="004F36F0"/>
    <w:rsid w:val="004F56B1"/>
    <w:rsid w:val="0050182C"/>
    <w:rsid w:val="005035F9"/>
    <w:rsid w:val="00505472"/>
    <w:rsid w:val="00517837"/>
    <w:rsid w:val="005228F8"/>
    <w:rsid w:val="00534CA4"/>
    <w:rsid w:val="00540CEB"/>
    <w:rsid w:val="005511D0"/>
    <w:rsid w:val="005C2201"/>
    <w:rsid w:val="005C58CF"/>
    <w:rsid w:val="005E0BBC"/>
    <w:rsid w:val="005E3FEA"/>
    <w:rsid w:val="005F08F9"/>
    <w:rsid w:val="005F711E"/>
    <w:rsid w:val="00614F92"/>
    <w:rsid w:val="0062094D"/>
    <w:rsid w:val="006223B3"/>
    <w:rsid w:val="006529F7"/>
    <w:rsid w:val="00653230"/>
    <w:rsid w:val="00664300"/>
    <w:rsid w:val="006739FF"/>
    <w:rsid w:val="00696B4D"/>
    <w:rsid w:val="006F765C"/>
    <w:rsid w:val="007003D9"/>
    <w:rsid w:val="00704637"/>
    <w:rsid w:val="007075C7"/>
    <w:rsid w:val="007133F0"/>
    <w:rsid w:val="007562C9"/>
    <w:rsid w:val="007716B7"/>
    <w:rsid w:val="00775C59"/>
    <w:rsid w:val="007A22F1"/>
    <w:rsid w:val="007C4017"/>
    <w:rsid w:val="007D51C2"/>
    <w:rsid w:val="007D6B5D"/>
    <w:rsid w:val="007E0B6A"/>
    <w:rsid w:val="007E7070"/>
    <w:rsid w:val="007E73EC"/>
    <w:rsid w:val="008057F3"/>
    <w:rsid w:val="008226BF"/>
    <w:rsid w:val="0084625F"/>
    <w:rsid w:val="00853F05"/>
    <w:rsid w:val="00880D7C"/>
    <w:rsid w:val="008A44DD"/>
    <w:rsid w:val="008A79C4"/>
    <w:rsid w:val="008C3B95"/>
    <w:rsid w:val="008C52A8"/>
    <w:rsid w:val="008E7C58"/>
    <w:rsid w:val="00902788"/>
    <w:rsid w:val="00911C04"/>
    <w:rsid w:val="009136B3"/>
    <w:rsid w:val="0091712E"/>
    <w:rsid w:val="00920117"/>
    <w:rsid w:val="00936AE2"/>
    <w:rsid w:val="00950066"/>
    <w:rsid w:val="00955896"/>
    <w:rsid w:val="0096766E"/>
    <w:rsid w:val="00970AA8"/>
    <w:rsid w:val="00984A56"/>
    <w:rsid w:val="009963EC"/>
    <w:rsid w:val="009A1D47"/>
    <w:rsid w:val="009A23C8"/>
    <w:rsid w:val="009B453E"/>
    <w:rsid w:val="009B4EBB"/>
    <w:rsid w:val="009C28C7"/>
    <w:rsid w:val="009D656E"/>
    <w:rsid w:val="009D7940"/>
    <w:rsid w:val="00A01C46"/>
    <w:rsid w:val="00A3075D"/>
    <w:rsid w:val="00A556D0"/>
    <w:rsid w:val="00A64813"/>
    <w:rsid w:val="00A7189D"/>
    <w:rsid w:val="00A94592"/>
    <w:rsid w:val="00AB157D"/>
    <w:rsid w:val="00AB188B"/>
    <w:rsid w:val="00AC26FA"/>
    <w:rsid w:val="00AE3C2C"/>
    <w:rsid w:val="00B01EF4"/>
    <w:rsid w:val="00B11996"/>
    <w:rsid w:val="00B15B4A"/>
    <w:rsid w:val="00B44DE1"/>
    <w:rsid w:val="00B4628F"/>
    <w:rsid w:val="00B541DA"/>
    <w:rsid w:val="00B91745"/>
    <w:rsid w:val="00BB46D6"/>
    <w:rsid w:val="00BC3020"/>
    <w:rsid w:val="00BC5BF3"/>
    <w:rsid w:val="00BE63D1"/>
    <w:rsid w:val="00BE7041"/>
    <w:rsid w:val="00BF5A4F"/>
    <w:rsid w:val="00C11317"/>
    <w:rsid w:val="00C136CE"/>
    <w:rsid w:val="00C32960"/>
    <w:rsid w:val="00C359BF"/>
    <w:rsid w:val="00C5258A"/>
    <w:rsid w:val="00C52F78"/>
    <w:rsid w:val="00C559E3"/>
    <w:rsid w:val="00C71E9E"/>
    <w:rsid w:val="00C771DE"/>
    <w:rsid w:val="00C860A3"/>
    <w:rsid w:val="00C9335E"/>
    <w:rsid w:val="00CD02E9"/>
    <w:rsid w:val="00CD4123"/>
    <w:rsid w:val="00CE3247"/>
    <w:rsid w:val="00CF3244"/>
    <w:rsid w:val="00CF7AA7"/>
    <w:rsid w:val="00D179BB"/>
    <w:rsid w:val="00D8418E"/>
    <w:rsid w:val="00DD19E9"/>
    <w:rsid w:val="00DE1848"/>
    <w:rsid w:val="00DE3329"/>
    <w:rsid w:val="00DE3904"/>
    <w:rsid w:val="00DE6FA2"/>
    <w:rsid w:val="00DF4CF7"/>
    <w:rsid w:val="00E13032"/>
    <w:rsid w:val="00E277C7"/>
    <w:rsid w:val="00E34118"/>
    <w:rsid w:val="00E42FD7"/>
    <w:rsid w:val="00E451AB"/>
    <w:rsid w:val="00E76436"/>
    <w:rsid w:val="00EA0987"/>
    <w:rsid w:val="00ED0EB9"/>
    <w:rsid w:val="00EE24DD"/>
    <w:rsid w:val="00EE44EA"/>
    <w:rsid w:val="00EF0B22"/>
    <w:rsid w:val="00F04991"/>
    <w:rsid w:val="00F26A9C"/>
    <w:rsid w:val="00F663CD"/>
    <w:rsid w:val="00FB4786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4F36F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52F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52F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52F7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F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2F78"/>
    <w:rPr>
      <w:b/>
      <w:bCs/>
      <w:lang w:eastAsia="en-US"/>
    </w:rPr>
  </w:style>
  <w:style w:type="character" w:styleId="af">
    <w:name w:val="Placeholder Text"/>
    <w:basedOn w:val="a0"/>
    <w:uiPriority w:val="99"/>
    <w:semiHidden/>
    <w:rsid w:val="00D8418E"/>
    <w:rPr>
      <w:color w:val="808080"/>
    </w:rPr>
  </w:style>
  <w:style w:type="table" w:styleId="af0">
    <w:name w:val="Table Grid"/>
    <w:basedOn w:val="a1"/>
    <w:locked/>
    <w:rsid w:val="009B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4F36F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52F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52F7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52F7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F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2F78"/>
    <w:rPr>
      <w:b/>
      <w:bCs/>
      <w:lang w:eastAsia="en-US"/>
    </w:rPr>
  </w:style>
  <w:style w:type="character" w:styleId="af">
    <w:name w:val="Placeholder Text"/>
    <w:basedOn w:val="a0"/>
    <w:uiPriority w:val="99"/>
    <w:semiHidden/>
    <w:rsid w:val="00D8418E"/>
    <w:rPr>
      <w:color w:val="808080"/>
    </w:rPr>
  </w:style>
  <w:style w:type="table" w:styleId="af0">
    <w:name w:val="Table Grid"/>
    <w:basedOn w:val="a1"/>
    <w:locked/>
    <w:rsid w:val="009B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472F-5421-450E-842F-2F7F434D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yavavramenko</dc:creator>
  <cp:lastModifiedBy>Шульгина</cp:lastModifiedBy>
  <cp:revision>2</cp:revision>
  <cp:lastPrinted>2023-11-15T06:57:00Z</cp:lastPrinted>
  <dcterms:created xsi:type="dcterms:W3CDTF">2023-11-17T11:10:00Z</dcterms:created>
  <dcterms:modified xsi:type="dcterms:W3CDTF">2023-11-17T11:10:00Z</dcterms:modified>
</cp:coreProperties>
</file>