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D3" w:rsidRPr="00DC4519" w:rsidRDefault="003112D3" w:rsidP="003112D3">
      <w:pPr>
        <w:jc w:val="center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DC4519">
        <w:rPr>
          <w:b/>
          <w:sz w:val="28"/>
          <w:szCs w:val="28"/>
        </w:rPr>
        <w:t>Раздел 7.</w:t>
      </w:r>
      <w:r w:rsidRPr="00DC4519">
        <w:rPr>
          <w:b/>
          <w:sz w:val="28"/>
          <w:szCs w:val="28"/>
          <w:shd w:val="clear" w:color="auto" w:fill="FFFFFF"/>
        </w:rPr>
        <w:t xml:space="preserve"> 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3112D3" w:rsidRDefault="003112D3" w:rsidP="003112D3">
      <w:pPr>
        <w:jc w:val="right"/>
        <w:rPr>
          <w:i/>
        </w:rPr>
      </w:pPr>
    </w:p>
    <w:p w:rsidR="003112D3" w:rsidRPr="005A1B08" w:rsidRDefault="003112D3" w:rsidP="003112D3">
      <w:pPr>
        <w:spacing w:line="360" w:lineRule="auto"/>
        <w:jc w:val="right"/>
        <w:rPr>
          <w:i/>
        </w:rPr>
      </w:pPr>
      <w:r w:rsidRPr="005A1B08">
        <w:rPr>
          <w:i/>
        </w:rPr>
        <w:t>Таблица № 39</w:t>
      </w:r>
    </w:p>
    <w:p w:rsidR="003112D3" w:rsidRPr="005A1B08" w:rsidRDefault="003112D3" w:rsidP="003112D3">
      <w:pPr>
        <w:spacing w:after="60"/>
        <w:jc w:val="center"/>
        <w:rPr>
          <w:i/>
        </w:rPr>
      </w:pPr>
      <w:r w:rsidRPr="005A1B08">
        <w:rPr>
          <w:i/>
        </w:rPr>
        <w:t>Ресурсное обеспечение и прогнозная (справочная) оценка расходов федерального, областного бюджетов и бюджета городского округа город Воронеж, внебюджетных источников на реализацию мероприятий по развитию дорожной инфраструктуры</w:t>
      </w: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320"/>
        <w:gridCol w:w="1373"/>
        <w:gridCol w:w="1327"/>
        <w:gridCol w:w="1260"/>
        <w:gridCol w:w="1260"/>
        <w:gridCol w:w="1260"/>
      </w:tblGrid>
      <w:tr w:rsidR="003112D3" w:rsidRPr="005A1B08" w:rsidTr="00E37915">
        <w:trPr>
          <w:trHeight w:val="1440"/>
        </w:trPr>
        <w:tc>
          <w:tcPr>
            <w:tcW w:w="1575" w:type="dxa"/>
            <w:vAlign w:val="center"/>
          </w:tcPr>
          <w:p w:rsidR="003112D3" w:rsidRPr="005A1B08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5A1B08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320" w:type="dxa"/>
            <w:vAlign w:val="center"/>
          </w:tcPr>
          <w:p w:rsidR="003112D3" w:rsidRPr="005A1B08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5A1B08">
              <w:rPr>
                <w:color w:val="000000"/>
                <w:sz w:val="18"/>
                <w:szCs w:val="18"/>
              </w:rPr>
              <w:t>Оценка расходов по годам и этапам реализации мероприятий, тыс. руб.</w:t>
            </w:r>
          </w:p>
        </w:tc>
        <w:tc>
          <w:tcPr>
            <w:tcW w:w="1373" w:type="dxa"/>
            <w:vAlign w:val="center"/>
          </w:tcPr>
          <w:p w:rsidR="003112D3" w:rsidRPr="005A1B08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5A1B08">
              <w:rPr>
                <w:color w:val="000000"/>
                <w:sz w:val="18"/>
                <w:szCs w:val="18"/>
              </w:rPr>
              <w:t>всего,</w:t>
            </w:r>
          </w:p>
          <w:p w:rsidR="003112D3" w:rsidRPr="005A1B08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5A1B08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327" w:type="dxa"/>
            <w:vAlign w:val="center"/>
          </w:tcPr>
          <w:p w:rsidR="003112D3" w:rsidRPr="005A1B08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5A1B0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60" w:type="dxa"/>
            <w:vAlign w:val="center"/>
          </w:tcPr>
          <w:p w:rsidR="003112D3" w:rsidRPr="005A1B08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5A1B08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60" w:type="dxa"/>
            <w:vAlign w:val="center"/>
          </w:tcPr>
          <w:p w:rsidR="003112D3" w:rsidRPr="005A1B08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5A1B08">
              <w:rPr>
                <w:color w:val="000000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260" w:type="dxa"/>
            <w:vAlign w:val="center"/>
          </w:tcPr>
          <w:p w:rsidR="003112D3" w:rsidRPr="005A1B08" w:rsidRDefault="003112D3" w:rsidP="00E3791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5A1B0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</w:tr>
      <w:tr w:rsidR="003112D3" w:rsidRPr="005A1B08" w:rsidTr="00E37915">
        <w:trPr>
          <w:trHeight w:val="554"/>
        </w:trPr>
        <w:tc>
          <w:tcPr>
            <w:tcW w:w="1575" w:type="dxa"/>
            <w:vMerge w:val="restart"/>
            <w:vAlign w:val="center"/>
          </w:tcPr>
          <w:p w:rsidR="003112D3" w:rsidRPr="005A1B08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5A1B08">
              <w:rPr>
                <w:color w:val="000000"/>
                <w:sz w:val="18"/>
                <w:szCs w:val="18"/>
              </w:rPr>
              <w:t>Мероприятия по развитию дорожной инфраструктуры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3112D3" w:rsidRPr="005A1B08" w:rsidRDefault="003112D3" w:rsidP="00E37915">
            <w:pPr>
              <w:jc w:val="both"/>
              <w:rPr>
                <w:color w:val="000000"/>
                <w:sz w:val="18"/>
                <w:szCs w:val="18"/>
              </w:rPr>
            </w:pPr>
            <w:r w:rsidRPr="005A1B08">
              <w:rPr>
                <w:color w:val="000000"/>
                <w:sz w:val="18"/>
                <w:szCs w:val="18"/>
              </w:rPr>
              <w:t>ВСЕГО по двум этапам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3112D3" w:rsidRPr="00357832" w:rsidRDefault="003112D3" w:rsidP="00E3791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  <w:r w:rsidRPr="004E6037">
              <w:rPr>
                <w:color w:val="000000"/>
                <w:sz w:val="18"/>
                <w:szCs w:val="18"/>
              </w:rPr>
              <w:t> 971 072,11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3112D3" w:rsidRPr="00357832" w:rsidRDefault="003112D3" w:rsidP="00E3791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556ED">
              <w:rPr>
                <w:color w:val="000000"/>
                <w:sz w:val="18"/>
                <w:szCs w:val="18"/>
              </w:rPr>
              <w:t>360 208,50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12D3" w:rsidRPr="00357832" w:rsidRDefault="003112D3" w:rsidP="00E3791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E6037">
              <w:rPr>
                <w:color w:val="000000"/>
                <w:sz w:val="18"/>
                <w:szCs w:val="18"/>
              </w:rPr>
              <w:t>51 </w:t>
            </w:r>
            <w:r>
              <w:rPr>
                <w:color w:val="000000"/>
                <w:sz w:val="18"/>
                <w:szCs w:val="18"/>
              </w:rPr>
              <w:t>7</w:t>
            </w:r>
            <w:r w:rsidRPr="004E6037">
              <w:rPr>
                <w:color w:val="000000"/>
                <w:sz w:val="18"/>
                <w:szCs w:val="18"/>
              </w:rPr>
              <w:t>70 648,24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12D3" w:rsidRPr="00357832" w:rsidRDefault="003112D3" w:rsidP="00E3791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E6037">
              <w:rPr>
                <w:color w:val="000000"/>
                <w:sz w:val="18"/>
                <w:szCs w:val="18"/>
              </w:rPr>
              <w:t>3 840 215,37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12D3" w:rsidRPr="000F43CA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0F43C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112D3" w:rsidRPr="005A1B08" w:rsidTr="00E37915">
        <w:trPr>
          <w:trHeight w:val="478"/>
        </w:trPr>
        <w:tc>
          <w:tcPr>
            <w:tcW w:w="1575" w:type="dxa"/>
            <w:vMerge/>
            <w:vAlign w:val="center"/>
          </w:tcPr>
          <w:p w:rsidR="003112D3" w:rsidRPr="005A1B08" w:rsidRDefault="003112D3" w:rsidP="00E379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:rsidR="003112D3" w:rsidRPr="005A1B08" w:rsidRDefault="003112D3" w:rsidP="00E37915">
            <w:pPr>
              <w:rPr>
                <w:color w:val="000000"/>
                <w:sz w:val="18"/>
                <w:szCs w:val="18"/>
              </w:rPr>
            </w:pPr>
            <w:r w:rsidRPr="005A1B08">
              <w:rPr>
                <w:color w:val="000000"/>
                <w:sz w:val="18"/>
                <w:szCs w:val="18"/>
              </w:rPr>
              <w:t>I этап всего, в том числе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3112D3" w:rsidRPr="00357832" w:rsidRDefault="003112D3" w:rsidP="00E3791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556ED">
              <w:rPr>
                <w:color w:val="000000"/>
                <w:sz w:val="18"/>
                <w:szCs w:val="18"/>
              </w:rPr>
              <w:t>24 915 949,49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3112D3" w:rsidRPr="00357832" w:rsidRDefault="003112D3" w:rsidP="00E3791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556ED">
              <w:rPr>
                <w:color w:val="000000"/>
                <w:sz w:val="18"/>
                <w:szCs w:val="18"/>
              </w:rPr>
              <w:t>360 208,50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12D3" w:rsidRPr="00357832" w:rsidRDefault="003112D3" w:rsidP="00E3791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556ED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2</w:t>
            </w:r>
            <w:r w:rsidRPr="00F556ED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</w:t>
            </w:r>
            <w:r w:rsidRPr="00F556ED">
              <w:rPr>
                <w:color w:val="000000"/>
                <w:sz w:val="18"/>
                <w:szCs w:val="18"/>
              </w:rPr>
              <w:t>08 212,46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12D3" w:rsidRPr="00357832" w:rsidRDefault="003112D3" w:rsidP="00E3791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556ED">
              <w:rPr>
                <w:color w:val="000000"/>
                <w:sz w:val="18"/>
                <w:szCs w:val="18"/>
              </w:rPr>
              <w:t>2 347 528,53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12D3" w:rsidRPr="000F43CA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0F43C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112D3" w:rsidRPr="005A1B08" w:rsidTr="00E37915">
        <w:trPr>
          <w:trHeight w:val="375"/>
        </w:trPr>
        <w:tc>
          <w:tcPr>
            <w:tcW w:w="1575" w:type="dxa"/>
            <w:vMerge/>
            <w:vAlign w:val="center"/>
          </w:tcPr>
          <w:p w:rsidR="003112D3" w:rsidRPr="005A1B08" w:rsidRDefault="003112D3" w:rsidP="00E379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:rsidR="003112D3" w:rsidRPr="005A1B08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5A1B08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73" w:type="dxa"/>
            <w:vAlign w:val="center"/>
          </w:tcPr>
          <w:p w:rsidR="003112D3" w:rsidRPr="00357832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357832">
              <w:rPr>
                <w:color w:val="000000"/>
                <w:sz w:val="18"/>
                <w:szCs w:val="18"/>
              </w:rPr>
              <w:t>10 262 187,19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3112D3" w:rsidRPr="00357832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357832">
              <w:rPr>
                <w:color w:val="000000"/>
                <w:sz w:val="18"/>
                <w:szCs w:val="18"/>
              </w:rPr>
              <w:t>258 167,60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12D3" w:rsidRPr="00357832" w:rsidRDefault="003112D3" w:rsidP="00E3791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57832">
              <w:rPr>
                <w:color w:val="000000"/>
                <w:sz w:val="18"/>
                <w:szCs w:val="18"/>
              </w:rPr>
              <w:t>8 243 010,06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12D3" w:rsidRPr="00357832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357832">
              <w:rPr>
                <w:color w:val="000000"/>
                <w:sz w:val="18"/>
                <w:szCs w:val="18"/>
              </w:rPr>
              <w:t>1 761 009,53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12D3" w:rsidRPr="000F43CA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0F43C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112D3" w:rsidRPr="005A1B08" w:rsidTr="00E37915">
        <w:trPr>
          <w:trHeight w:val="375"/>
        </w:trPr>
        <w:tc>
          <w:tcPr>
            <w:tcW w:w="1575" w:type="dxa"/>
            <w:vMerge/>
            <w:vAlign w:val="center"/>
          </w:tcPr>
          <w:p w:rsidR="003112D3" w:rsidRPr="005A1B08" w:rsidRDefault="003112D3" w:rsidP="00E379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:rsidR="003112D3" w:rsidRPr="005A1B08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5A1B08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3112D3" w:rsidRPr="00357832" w:rsidRDefault="003112D3" w:rsidP="00E3791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57832">
              <w:rPr>
                <w:color w:val="000000"/>
                <w:sz w:val="18"/>
                <w:szCs w:val="18"/>
              </w:rPr>
              <w:t>4 997 252,50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3112D3" w:rsidRPr="00357832" w:rsidRDefault="003112D3" w:rsidP="00E3791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57832">
              <w:rPr>
                <w:color w:val="000000"/>
                <w:sz w:val="18"/>
                <w:szCs w:val="18"/>
              </w:rPr>
              <w:t>102 040,90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12D3" w:rsidRPr="00357832" w:rsidRDefault="003112D3" w:rsidP="00E3791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57832">
              <w:rPr>
                <w:color w:val="000000"/>
                <w:sz w:val="18"/>
                <w:szCs w:val="18"/>
              </w:rPr>
              <w:t>4 752 045,40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12D3" w:rsidRPr="00357832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357832">
              <w:rPr>
                <w:color w:val="000000"/>
                <w:sz w:val="18"/>
                <w:szCs w:val="18"/>
              </w:rPr>
              <w:t>143 166,20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12D3" w:rsidRPr="000F43CA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0F43C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112D3" w:rsidRPr="005A1B08" w:rsidTr="00E37915">
        <w:trPr>
          <w:trHeight w:val="375"/>
        </w:trPr>
        <w:tc>
          <w:tcPr>
            <w:tcW w:w="1575" w:type="dxa"/>
            <w:vMerge/>
            <w:vAlign w:val="center"/>
          </w:tcPr>
          <w:p w:rsidR="003112D3" w:rsidRPr="005A1B08" w:rsidRDefault="003112D3" w:rsidP="00E379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:rsidR="003112D3" w:rsidRPr="005A1B08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5A1B08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3112D3" w:rsidRPr="00357832" w:rsidRDefault="003112D3" w:rsidP="00E3791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57832">
              <w:rPr>
                <w:color w:val="000000"/>
                <w:sz w:val="18"/>
                <w:szCs w:val="18"/>
              </w:rPr>
              <w:t>4 326 978,40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3112D3" w:rsidRPr="00357832" w:rsidRDefault="003112D3" w:rsidP="00E37915">
            <w:pPr>
              <w:ind w:right="-62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578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12D3" w:rsidRPr="00357832" w:rsidRDefault="003112D3" w:rsidP="00E3791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57832">
              <w:rPr>
                <w:color w:val="000000"/>
                <w:sz w:val="18"/>
                <w:szCs w:val="18"/>
              </w:rPr>
              <w:t>4 157 719,00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12D3" w:rsidRPr="00357832" w:rsidRDefault="003112D3" w:rsidP="00E3791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57832">
              <w:rPr>
                <w:color w:val="000000"/>
                <w:sz w:val="18"/>
                <w:szCs w:val="18"/>
              </w:rPr>
              <w:t>169 259,40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12D3" w:rsidRPr="000F43CA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0F43C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112D3" w:rsidRPr="005A1B08" w:rsidTr="00E37915">
        <w:trPr>
          <w:trHeight w:val="375"/>
        </w:trPr>
        <w:tc>
          <w:tcPr>
            <w:tcW w:w="1575" w:type="dxa"/>
            <w:vMerge/>
            <w:vAlign w:val="center"/>
          </w:tcPr>
          <w:p w:rsidR="003112D3" w:rsidRPr="005A1B08" w:rsidRDefault="003112D3" w:rsidP="00E379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:rsidR="003112D3" w:rsidRPr="005A1B08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5A1B08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3112D3" w:rsidRPr="000F43CA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0F43CA">
              <w:rPr>
                <w:color w:val="000000"/>
                <w:sz w:val="18"/>
                <w:szCs w:val="18"/>
              </w:rPr>
              <w:t>2 </w:t>
            </w:r>
            <w:r>
              <w:rPr>
                <w:color w:val="000000"/>
                <w:sz w:val="18"/>
                <w:szCs w:val="18"/>
              </w:rPr>
              <w:t>9</w:t>
            </w:r>
            <w:r w:rsidRPr="000F43CA">
              <w:rPr>
                <w:color w:val="000000"/>
                <w:sz w:val="18"/>
                <w:szCs w:val="18"/>
              </w:rPr>
              <w:t>46 697,40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3112D3" w:rsidRPr="000F43CA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0F43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12D3" w:rsidRPr="00357832" w:rsidRDefault="003112D3" w:rsidP="00E3791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F43CA">
              <w:rPr>
                <w:color w:val="000000"/>
                <w:sz w:val="18"/>
                <w:szCs w:val="18"/>
              </w:rPr>
              <w:t xml:space="preserve">2 </w:t>
            </w:r>
            <w:r>
              <w:rPr>
                <w:color w:val="000000"/>
                <w:sz w:val="18"/>
                <w:szCs w:val="18"/>
              </w:rPr>
              <w:t>7</w:t>
            </w:r>
            <w:r w:rsidRPr="000F43CA">
              <w:rPr>
                <w:color w:val="000000"/>
                <w:sz w:val="18"/>
                <w:szCs w:val="18"/>
              </w:rPr>
              <w:t>77 719,00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12D3" w:rsidRPr="000F43CA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0F43CA">
              <w:rPr>
                <w:color w:val="000000"/>
                <w:sz w:val="18"/>
                <w:szCs w:val="18"/>
              </w:rPr>
              <w:t>168 978,40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12D3" w:rsidRPr="000F43CA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0F43C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112D3" w:rsidRPr="005A1B08" w:rsidTr="00E37915">
        <w:trPr>
          <w:trHeight w:val="375"/>
        </w:trPr>
        <w:tc>
          <w:tcPr>
            <w:tcW w:w="1575" w:type="dxa"/>
            <w:vMerge/>
            <w:vAlign w:val="center"/>
          </w:tcPr>
          <w:p w:rsidR="003112D3" w:rsidRPr="005A1B08" w:rsidRDefault="003112D3" w:rsidP="00E379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:rsidR="003112D3" w:rsidRPr="005A1B08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5A1B08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3112D3" w:rsidRPr="000F43CA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0F43CA">
              <w:rPr>
                <w:color w:val="000000"/>
                <w:sz w:val="18"/>
                <w:szCs w:val="18"/>
              </w:rPr>
              <w:t>2 382 834,00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3112D3" w:rsidRPr="000F43CA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0F43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12D3" w:rsidRPr="00357832" w:rsidRDefault="003112D3" w:rsidP="00E3791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F43CA">
              <w:rPr>
                <w:color w:val="000000"/>
                <w:sz w:val="18"/>
                <w:szCs w:val="18"/>
              </w:rPr>
              <w:t>2 277 719,00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12D3" w:rsidRPr="000F43CA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0F43CA">
              <w:rPr>
                <w:color w:val="000000"/>
                <w:sz w:val="18"/>
                <w:szCs w:val="18"/>
              </w:rPr>
              <w:t>105 115,00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12D3" w:rsidRPr="000F43CA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0F43C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112D3" w:rsidRPr="005A1B08" w:rsidTr="00E37915">
        <w:trPr>
          <w:trHeight w:val="476"/>
        </w:trPr>
        <w:tc>
          <w:tcPr>
            <w:tcW w:w="1575" w:type="dxa"/>
            <w:vMerge/>
            <w:vAlign w:val="center"/>
          </w:tcPr>
          <w:p w:rsidR="003112D3" w:rsidRPr="005A1B08" w:rsidRDefault="003112D3" w:rsidP="00E379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:rsidR="003112D3" w:rsidRPr="00F556ED" w:rsidRDefault="003112D3" w:rsidP="00E37915">
            <w:pPr>
              <w:rPr>
                <w:color w:val="000000"/>
                <w:sz w:val="18"/>
                <w:szCs w:val="18"/>
              </w:rPr>
            </w:pPr>
            <w:r w:rsidRPr="00F556ED">
              <w:rPr>
                <w:color w:val="000000"/>
                <w:sz w:val="18"/>
                <w:szCs w:val="18"/>
              </w:rPr>
              <w:t>II этап, всего (2028-2041)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3112D3" w:rsidRPr="00F556ED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F556ED">
              <w:rPr>
                <w:color w:val="000000"/>
                <w:sz w:val="18"/>
                <w:szCs w:val="18"/>
              </w:rPr>
              <w:t>31 055 122,62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3112D3" w:rsidRPr="00F556ED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F556E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12D3" w:rsidRPr="00F556ED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F556ED">
              <w:rPr>
                <w:color w:val="000000"/>
                <w:sz w:val="18"/>
                <w:szCs w:val="18"/>
              </w:rPr>
              <w:t>29 562 435,78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12D3" w:rsidRPr="00F556ED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F556ED">
              <w:rPr>
                <w:color w:val="000000"/>
                <w:sz w:val="18"/>
                <w:szCs w:val="18"/>
              </w:rPr>
              <w:t>1 492 686,84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12D3" w:rsidRPr="000F43CA" w:rsidRDefault="003112D3" w:rsidP="00E37915">
            <w:pPr>
              <w:jc w:val="center"/>
              <w:rPr>
                <w:color w:val="000000"/>
                <w:sz w:val="18"/>
                <w:szCs w:val="18"/>
              </w:rPr>
            </w:pPr>
            <w:r w:rsidRPr="000F43CA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3112D3" w:rsidRPr="005A1B08" w:rsidRDefault="003112D3" w:rsidP="003112D3">
      <w:pPr>
        <w:spacing w:before="240" w:line="300" w:lineRule="auto"/>
        <w:ind w:firstLine="709"/>
        <w:jc w:val="both"/>
        <w:rPr>
          <w:sz w:val="28"/>
          <w:szCs w:val="28"/>
        </w:rPr>
      </w:pPr>
      <w:r w:rsidRPr="005A1B08">
        <w:rPr>
          <w:sz w:val="28"/>
          <w:szCs w:val="28"/>
        </w:rPr>
        <w:t>Наибольшая доля приходится на бюджетные источники финансирования, в частности, на средства областного бюджета (таблица № 39). На рисунке 19 отражены доли финансирования программы по источникам финансирования.</w:t>
      </w:r>
    </w:p>
    <w:p w:rsidR="003112D3" w:rsidRPr="005A1B08" w:rsidRDefault="003112D3" w:rsidP="003112D3">
      <w:pPr>
        <w:jc w:val="center"/>
      </w:pPr>
      <w:r>
        <w:rPr>
          <w:noProof/>
        </w:rPr>
        <w:drawing>
          <wp:inline distT="0" distB="0" distL="0" distR="0" wp14:anchorId="0E5A55F6" wp14:editId="3AA06A0D">
            <wp:extent cx="5534025" cy="303847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112D3" w:rsidRPr="005A1B08" w:rsidRDefault="003112D3" w:rsidP="003112D3">
      <w:pPr>
        <w:spacing w:line="252" w:lineRule="auto"/>
        <w:jc w:val="center"/>
        <w:rPr>
          <w:i/>
        </w:rPr>
      </w:pPr>
      <w:r w:rsidRPr="005A1B08">
        <w:rPr>
          <w:i/>
        </w:rPr>
        <w:lastRenderedPageBreak/>
        <w:t xml:space="preserve">Рис. 19. Доли финансирования мероприятий в сфере дорожной деятельности по источникам </w:t>
      </w:r>
    </w:p>
    <w:p w:rsidR="003112D3" w:rsidRPr="005A1B08" w:rsidRDefault="003112D3" w:rsidP="003112D3">
      <w:pPr>
        <w:spacing w:before="120" w:line="300" w:lineRule="auto"/>
        <w:ind w:firstLine="709"/>
        <w:jc w:val="both"/>
        <w:rPr>
          <w:sz w:val="28"/>
          <w:szCs w:val="28"/>
        </w:rPr>
      </w:pPr>
      <w:r w:rsidRPr="005A1B08">
        <w:rPr>
          <w:sz w:val="28"/>
          <w:szCs w:val="28"/>
        </w:rPr>
        <w:t>Данные, представленные в таблице № 40, показывают, что динамика финансирования деятельности по Программе комплексного развития транспортной инфраструктуры характеризуется ростом объемов финансирования на перспективные периоды. При этом стоит учитывать, что в таблице представлена укрупненная оценка мероприятий и в перспективе возможен дополнительный рост средств, выделяемых на развитие транспортной инфраструктуры.</w:t>
      </w:r>
    </w:p>
    <w:p w:rsidR="003112D3" w:rsidRPr="005A1B08" w:rsidRDefault="003112D3" w:rsidP="003112D3">
      <w:pPr>
        <w:spacing w:line="360" w:lineRule="auto"/>
        <w:jc w:val="right"/>
        <w:rPr>
          <w:i/>
        </w:rPr>
      </w:pPr>
      <w:r w:rsidRPr="005A1B08">
        <w:rPr>
          <w:i/>
        </w:rPr>
        <w:t>Таблица № 40</w:t>
      </w:r>
    </w:p>
    <w:p w:rsidR="003112D3" w:rsidRPr="005A1B08" w:rsidRDefault="003112D3" w:rsidP="003112D3">
      <w:pPr>
        <w:spacing w:after="60"/>
        <w:jc w:val="center"/>
        <w:rPr>
          <w:i/>
        </w:rPr>
      </w:pPr>
      <w:r w:rsidRPr="005A1B08">
        <w:rPr>
          <w:i/>
        </w:rPr>
        <w:t>Ресурсное обеспечение и прогнозная (справочная) оценка расходов федерального, областного бюджетов и бюджета городского округа город Воронеж, внебюджетных источников на реализацию Мероприятий по улучшению транспортной инфраструктуры</w:t>
      </w:r>
    </w:p>
    <w:tbl>
      <w:tblPr>
        <w:tblW w:w="52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0"/>
        <w:gridCol w:w="1442"/>
        <w:gridCol w:w="1509"/>
        <w:gridCol w:w="1156"/>
        <w:gridCol w:w="1204"/>
        <w:gridCol w:w="1166"/>
        <w:gridCol w:w="1260"/>
      </w:tblGrid>
      <w:tr w:rsidR="003112D3" w:rsidRPr="005A1B08" w:rsidTr="00E37915"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D3" w:rsidRPr="005A1B08" w:rsidRDefault="003112D3" w:rsidP="00E37915">
            <w:pPr>
              <w:jc w:val="center"/>
              <w:rPr>
                <w:sz w:val="16"/>
                <w:szCs w:val="16"/>
              </w:rPr>
            </w:pPr>
            <w:r w:rsidRPr="005A1B08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D3" w:rsidRPr="005A1B08" w:rsidRDefault="003112D3" w:rsidP="00E37915">
            <w:pPr>
              <w:jc w:val="center"/>
              <w:rPr>
                <w:sz w:val="16"/>
                <w:szCs w:val="16"/>
              </w:rPr>
            </w:pPr>
            <w:r w:rsidRPr="005A1B08">
              <w:rPr>
                <w:sz w:val="16"/>
                <w:szCs w:val="16"/>
              </w:rPr>
              <w:t>Оценка расходов по годам и этапам реализации мероприятий, тыс. руб.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D3" w:rsidRPr="005A1B08" w:rsidRDefault="003112D3" w:rsidP="00E37915">
            <w:pPr>
              <w:jc w:val="center"/>
              <w:rPr>
                <w:sz w:val="16"/>
                <w:szCs w:val="16"/>
              </w:rPr>
            </w:pPr>
            <w:r w:rsidRPr="005A1B08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D3" w:rsidRPr="005A1B08" w:rsidRDefault="003112D3" w:rsidP="00E37915">
            <w:pPr>
              <w:jc w:val="center"/>
              <w:rPr>
                <w:sz w:val="16"/>
                <w:szCs w:val="16"/>
              </w:rPr>
            </w:pPr>
            <w:r w:rsidRPr="005A1B0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D3" w:rsidRPr="005A1B08" w:rsidRDefault="003112D3" w:rsidP="00E37915">
            <w:pPr>
              <w:jc w:val="center"/>
              <w:rPr>
                <w:sz w:val="16"/>
                <w:szCs w:val="16"/>
              </w:rPr>
            </w:pPr>
            <w:r w:rsidRPr="005A1B0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D3" w:rsidRPr="005A1B08" w:rsidRDefault="003112D3" w:rsidP="00E37915">
            <w:pPr>
              <w:jc w:val="center"/>
              <w:rPr>
                <w:sz w:val="16"/>
                <w:szCs w:val="16"/>
              </w:rPr>
            </w:pPr>
            <w:r w:rsidRPr="005A1B08">
              <w:rPr>
                <w:sz w:val="16"/>
                <w:szCs w:val="16"/>
              </w:rPr>
              <w:t>бюджет городского округа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D3" w:rsidRPr="005A1B08" w:rsidRDefault="003112D3" w:rsidP="00E37915">
            <w:pPr>
              <w:jc w:val="center"/>
              <w:rPr>
                <w:sz w:val="16"/>
                <w:szCs w:val="16"/>
              </w:rPr>
            </w:pPr>
            <w:r w:rsidRPr="005A1B08">
              <w:rPr>
                <w:sz w:val="16"/>
                <w:szCs w:val="16"/>
              </w:rPr>
              <w:t>внебюджетные источники</w:t>
            </w:r>
          </w:p>
        </w:tc>
      </w:tr>
      <w:tr w:rsidR="003112D3" w:rsidRPr="005A1B08" w:rsidTr="00E37915">
        <w:tc>
          <w:tcPr>
            <w:tcW w:w="1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5A1B08" w:rsidRDefault="003112D3" w:rsidP="00E37915">
            <w:pPr>
              <w:rPr>
                <w:sz w:val="15"/>
                <w:szCs w:val="15"/>
              </w:rPr>
            </w:pPr>
            <w:r w:rsidRPr="005A1B08">
              <w:rPr>
                <w:sz w:val="15"/>
                <w:szCs w:val="15"/>
              </w:rPr>
              <w:t>Мероприятия:</w:t>
            </w:r>
          </w:p>
          <w:p w:rsidR="003112D3" w:rsidRPr="005A1B08" w:rsidRDefault="003112D3" w:rsidP="00E37915">
            <w:pPr>
              <w:rPr>
                <w:sz w:val="15"/>
                <w:szCs w:val="15"/>
              </w:rPr>
            </w:pPr>
            <w:r w:rsidRPr="005A1B08">
              <w:rPr>
                <w:sz w:val="15"/>
                <w:szCs w:val="15"/>
              </w:rPr>
              <w:t>- обеспечение обособленного движения городского пассажирского транспорта («</w:t>
            </w:r>
            <w:proofErr w:type="spellStart"/>
            <w:r w:rsidRPr="005A1B08">
              <w:rPr>
                <w:sz w:val="15"/>
                <w:szCs w:val="15"/>
              </w:rPr>
              <w:t>метробус</w:t>
            </w:r>
            <w:proofErr w:type="spellEnd"/>
            <w:r w:rsidRPr="005A1B08">
              <w:rPr>
                <w:sz w:val="15"/>
                <w:szCs w:val="15"/>
              </w:rPr>
              <w:t>»);</w:t>
            </w:r>
          </w:p>
          <w:p w:rsidR="003112D3" w:rsidRPr="005A1B08" w:rsidRDefault="003112D3" w:rsidP="00E37915">
            <w:pPr>
              <w:rPr>
                <w:sz w:val="15"/>
                <w:szCs w:val="15"/>
              </w:rPr>
            </w:pPr>
            <w:r w:rsidRPr="005A1B08">
              <w:rPr>
                <w:sz w:val="15"/>
                <w:szCs w:val="15"/>
              </w:rPr>
              <w:t>- приобретение подвижного состава;</w:t>
            </w:r>
          </w:p>
          <w:p w:rsidR="003112D3" w:rsidRPr="005A1B08" w:rsidRDefault="003112D3" w:rsidP="00E37915">
            <w:pPr>
              <w:rPr>
                <w:sz w:val="15"/>
                <w:szCs w:val="15"/>
              </w:rPr>
            </w:pPr>
            <w:r w:rsidRPr="005A1B08">
              <w:rPr>
                <w:sz w:val="15"/>
                <w:szCs w:val="15"/>
              </w:rPr>
              <w:t>- модернизация инфраструктуры городского пассажирского транспорта;</w:t>
            </w:r>
          </w:p>
          <w:p w:rsidR="003112D3" w:rsidRPr="005A1B08" w:rsidRDefault="003112D3" w:rsidP="00E37915">
            <w:pPr>
              <w:rPr>
                <w:sz w:val="15"/>
                <w:szCs w:val="15"/>
              </w:rPr>
            </w:pPr>
            <w:r w:rsidRPr="005A1B08">
              <w:rPr>
                <w:sz w:val="15"/>
                <w:szCs w:val="15"/>
              </w:rPr>
              <w:t>- развитие инфраструктуры для легкового автомобильного транспорта, включая развитие единого парковочного пространства</w:t>
            </w:r>
          </w:p>
          <w:p w:rsidR="003112D3" w:rsidRPr="005A1B08" w:rsidRDefault="003112D3" w:rsidP="00E37915">
            <w:pPr>
              <w:rPr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BD6E09" w:rsidRDefault="003112D3" w:rsidP="00E37915">
            <w:pPr>
              <w:jc w:val="both"/>
              <w:rPr>
                <w:sz w:val="15"/>
                <w:szCs w:val="15"/>
              </w:rPr>
            </w:pPr>
            <w:r w:rsidRPr="00BD6E09">
              <w:rPr>
                <w:sz w:val="15"/>
                <w:szCs w:val="15"/>
              </w:rPr>
              <w:t>ВСЕГО по двум этапам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BD6E09" w:rsidRDefault="003112D3" w:rsidP="00E37915">
            <w:pPr>
              <w:jc w:val="both"/>
              <w:rPr>
                <w:sz w:val="15"/>
                <w:szCs w:val="15"/>
              </w:rPr>
            </w:pPr>
            <w:r w:rsidRPr="00BD6E09">
              <w:rPr>
                <w:sz w:val="15"/>
                <w:szCs w:val="15"/>
              </w:rPr>
              <w:t>39 128 301,88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15"/>
                <w:szCs w:val="15"/>
                <w:highlight w:val="yellow"/>
              </w:rPr>
            </w:pPr>
            <w:r w:rsidRPr="00F556ED">
              <w:rPr>
                <w:sz w:val="15"/>
                <w:szCs w:val="15"/>
              </w:rPr>
              <w:t>2 784 512,40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15"/>
                <w:szCs w:val="15"/>
                <w:highlight w:val="yellow"/>
              </w:rPr>
            </w:pPr>
            <w:r w:rsidRPr="00BD6E09">
              <w:rPr>
                <w:sz w:val="15"/>
                <w:szCs w:val="15"/>
              </w:rPr>
              <w:t>32 820 049,23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15"/>
                <w:szCs w:val="15"/>
                <w:highlight w:val="yellow"/>
              </w:rPr>
            </w:pPr>
            <w:r w:rsidRPr="00BD6E09">
              <w:rPr>
                <w:sz w:val="15"/>
                <w:szCs w:val="15"/>
              </w:rPr>
              <w:t>1 186 474,59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15"/>
                <w:szCs w:val="15"/>
                <w:highlight w:val="yellow"/>
              </w:rPr>
            </w:pPr>
            <w:r w:rsidRPr="00BD6E09">
              <w:rPr>
                <w:sz w:val="15"/>
                <w:szCs w:val="15"/>
              </w:rPr>
              <w:t>2 337 265,66</w:t>
            </w:r>
          </w:p>
        </w:tc>
      </w:tr>
      <w:tr w:rsidR="003112D3" w:rsidRPr="005A1B08" w:rsidTr="00E37915">
        <w:tc>
          <w:tcPr>
            <w:tcW w:w="1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D3" w:rsidRPr="005A1B08" w:rsidRDefault="003112D3" w:rsidP="00E37915">
            <w:pPr>
              <w:rPr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5A1B08" w:rsidRDefault="003112D3" w:rsidP="00E37915">
            <w:pPr>
              <w:jc w:val="both"/>
              <w:rPr>
                <w:sz w:val="15"/>
                <w:szCs w:val="15"/>
              </w:rPr>
            </w:pPr>
            <w:r w:rsidRPr="005A1B08">
              <w:rPr>
                <w:sz w:val="15"/>
                <w:szCs w:val="15"/>
              </w:rPr>
              <w:t>I этап, всего, в том числе: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15"/>
                <w:szCs w:val="15"/>
                <w:highlight w:val="yellow"/>
              </w:rPr>
            </w:pPr>
            <w:r w:rsidRPr="003D0F41">
              <w:rPr>
                <w:sz w:val="15"/>
                <w:szCs w:val="15"/>
              </w:rPr>
              <w:t>2 984 378,38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15"/>
                <w:szCs w:val="15"/>
                <w:highlight w:val="yellow"/>
              </w:rPr>
            </w:pPr>
            <w:r w:rsidRPr="003D0F41">
              <w:rPr>
                <w:sz w:val="15"/>
                <w:szCs w:val="15"/>
              </w:rPr>
              <w:t>0,00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15"/>
                <w:szCs w:val="15"/>
                <w:highlight w:val="yellow"/>
              </w:rPr>
            </w:pPr>
            <w:r w:rsidRPr="003D0F41">
              <w:rPr>
                <w:sz w:val="15"/>
                <w:szCs w:val="15"/>
              </w:rPr>
              <w:t>600 399,63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15"/>
                <w:szCs w:val="15"/>
                <w:highlight w:val="yellow"/>
              </w:rPr>
            </w:pPr>
            <w:r w:rsidRPr="003D0F41">
              <w:rPr>
                <w:sz w:val="15"/>
                <w:szCs w:val="15"/>
              </w:rPr>
              <w:t>53 950,</w:t>
            </w:r>
            <w:r>
              <w:rPr>
                <w:sz w:val="15"/>
                <w:szCs w:val="15"/>
              </w:rPr>
              <w:t>19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15"/>
                <w:szCs w:val="15"/>
                <w:highlight w:val="yellow"/>
              </w:rPr>
            </w:pPr>
            <w:r w:rsidRPr="003D0F41">
              <w:rPr>
                <w:sz w:val="15"/>
                <w:szCs w:val="15"/>
              </w:rPr>
              <w:t>2 330 028,56</w:t>
            </w:r>
          </w:p>
        </w:tc>
      </w:tr>
      <w:tr w:rsidR="003112D3" w:rsidRPr="005A1B08" w:rsidTr="00E37915">
        <w:tc>
          <w:tcPr>
            <w:tcW w:w="1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D3" w:rsidRPr="005A1B08" w:rsidRDefault="003112D3" w:rsidP="00E37915">
            <w:pPr>
              <w:rPr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5A1B08" w:rsidRDefault="003112D3" w:rsidP="00E37915">
            <w:pPr>
              <w:jc w:val="center"/>
              <w:rPr>
                <w:sz w:val="15"/>
                <w:szCs w:val="15"/>
              </w:rPr>
            </w:pPr>
            <w:r w:rsidRPr="005A1B08">
              <w:rPr>
                <w:sz w:val="15"/>
                <w:szCs w:val="15"/>
              </w:rPr>
              <w:t>2023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324</w:t>
            </w:r>
            <w:r w:rsidRPr="000F43CA">
              <w:rPr>
                <w:sz w:val="15"/>
                <w:szCs w:val="15"/>
              </w:rPr>
              <w:t> 872,83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15"/>
                <w:szCs w:val="15"/>
                <w:highlight w:val="yellow"/>
              </w:rPr>
            </w:pPr>
            <w:r w:rsidRPr="000F43CA">
              <w:rPr>
                <w:sz w:val="15"/>
                <w:szCs w:val="15"/>
              </w:rPr>
              <w:t>0,00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15"/>
                <w:szCs w:val="15"/>
                <w:highlight w:val="yellow"/>
              </w:rPr>
            </w:pPr>
            <w:r w:rsidRPr="000F43CA">
              <w:rPr>
                <w:sz w:val="15"/>
                <w:szCs w:val="15"/>
              </w:rPr>
              <w:t>205 698,83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15"/>
                <w:szCs w:val="15"/>
                <w:highlight w:val="yellow"/>
              </w:rPr>
            </w:pPr>
            <w:r w:rsidRPr="000F43CA">
              <w:rPr>
                <w:sz w:val="15"/>
                <w:szCs w:val="15"/>
              </w:rPr>
              <w:t>9 972,00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15"/>
                <w:szCs w:val="15"/>
                <w:highlight w:val="yellow"/>
              </w:rPr>
            </w:pPr>
            <w:r w:rsidRPr="000F43CA">
              <w:rPr>
                <w:sz w:val="15"/>
                <w:szCs w:val="15"/>
              </w:rPr>
              <w:t>109 202,00</w:t>
            </w:r>
          </w:p>
        </w:tc>
      </w:tr>
      <w:tr w:rsidR="003112D3" w:rsidRPr="005A1B08" w:rsidTr="00E37915">
        <w:tc>
          <w:tcPr>
            <w:tcW w:w="1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D3" w:rsidRPr="005A1B08" w:rsidRDefault="003112D3" w:rsidP="00E37915">
            <w:pPr>
              <w:rPr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5A1B08" w:rsidRDefault="003112D3" w:rsidP="00E37915">
            <w:pPr>
              <w:jc w:val="center"/>
              <w:rPr>
                <w:sz w:val="15"/>
                <w:szCs w:val="15"/>
              </w:rPr>
            </w:pPr>
            <w:r w:rsidRPr="005A1B08">
              <w:rPr>
                <w:sz w:val="15"/>
                <w:szCs w:val="15"/>
              </w:rPr>
              <w:t>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0F43CA" w:rsidRDefault="003112D3" w:rsidP="00E37915">
            <w:pPr>
              <w:jc w:val="both"/>
              <w:rPr>
                <w:sz w:val="15"/>
                <w:szCs w:val="15"/>
              </w:rPr>
            </w:pPr>
            <w:r w:rsidRPr="000F43CA">
              <w:rPr>
                <w:sz w:val="15"/>
                <w:szCs w:val="15"/>
              </w:rPr>
              <w:t>334 143,80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0F43CA" w:rsidRDefault="003112D3" w:rsidP="00E37915">
            <w:pPr>
              <w:jc w:val="both"/>
              <w:rPr>
                <w:sz w:val="15"/>
                <w:szCs w:val="15"/>
              </w:rPr>
            </w:pPr>
            <w:r w:rsidRPr="000F43CA">
              <w:rPr>
                <w:sz w:val="15"/>
                <w:szCs w:val="15"/>
              </w:rPr>
              <w:t>0,00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15"/>
                <w:szCs w:val="15"/>
                <w:highlight w:val="yellow"/>
              </w:rPr>
            </w:pPr>
            <w:r w:rsidRPr="000F43CA">
              <w:rPr>
                <w:sz w:val="15"/>
                <w:szCs w:val="15"/>
              </w:rPr>
              <w:t>205 698,80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15"/>
                <w:szCs w:val="15"/>
                <w:highlight w:val="yellow"/>
              </w:rPr>
            </w:pPr>
            <w:r w:rsidRPr="000F43CA">
              <w:rPr>
                <w:sz w:val="15"/>
                <w:szCs w:val="15"/>
              </w:rPr>
              <w:t>14 875,00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15"/>
                <w:szCs w:val="15"/>
                <w:highlight w:val="yellow"/>
              </w:rPr>
            </w:pPr>
            <w:r w:rsidRPr="000F43CA">
              <w:rPr>
                <w:sz w:val="15"/>
                <w:szCs w:val="15"/>
              </w:rPr>
              <w:t xml:space="preserve">113 570,00 </w:t>
            </w:r>
          </w:p>
        </w:tc>
      </w:tr>
      <w:tr w:rsidR="003112D3" w:rsidRPr="005A1B08" w:rsidTr="00E37915">
        <w:tc>
          <w:tcPr>
            <w:tcW w:w="1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D3" w:rsidRPr="005A1B08" w:rsidRDefault="003112D3" w:rsidP="00E37915">
            <w:pPr>
              <w:rPr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5A1B08" w:rsidRDefault="003112D3" w:rsidP="00E37915">
            <w:pPr>
              <w:jc w:val="center"/>
              <w:rPr>
                <w:sz w:val="15"/>
                <w:szCs w:val="15"/>
              </w:rPr>
            </w:pPr>
            <w:r w:rsidRPr="005A1B08">
              <w:rPr>
                <w:sz w:val="15"/>
                <w:szCs w:val="15"/>
              </w:rPr>
              <w:t>2025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15"/>
                <w:szCs w:val="15"/>
                <w:highlight w:val="yellow"/>
              </w:rPr>
            </w:pPr>
            <w:r w:rsidRPr="000F43CA">
              <w:rPr>
                <w:sz w:val="15"/>
                <w:szCs w:val="15"/>
              </w:rPr>
              <w:t>423 958,80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15"/>
                <w:szCs w:val="15"/>
                <w:highlight w:val="yellow"/>
              </w:rPr>
            </w:pPr>
            <w:r w:rsidRPr="000F43CA">
              <w:rPr>
                <w:sz w:val="15"/>
                <w:szCs w:val="15"/>
              </w:rPr>
              <w:t>0,00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15"/>
                <w:szCs w:val="15"/>
                <w:highlight w:val="yellow"/>
              </w:rPr>
            </w:pPr>
            <w:r w:rsidRPr="000F43CA">
              <w:rPr>
                <w:sz w:val="15"/>
                <w:szCs w:val="15"/>
              </w:rPr>
              <w:t>189 002,00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15"/>
                <w:szCs w:val="15"/>
                <w:highlight w:val="yellow"/>
              </w:rPr>
            </w:pPr>
            <w:r w:rsidRPr="000F43CA">
              <w:rPr>
                <w:sz w:val="15"/>
                <w:szCs w:val="15"/>
              </w:rPr>
              <w:t>9 984,00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15"/>
                <w:szCs w:val="15"/>
                <w:highlight w:val="yellow"/>
              </w:rPr>
            </w:pPr>
            <w:r w:rsidRPr="000F43CA">
              <w:rPr>
                <w:sz w:val="15"/>
                <w:szCs w:val="15"/>
              </w:rPr>
              <w:t>224 972,80</w:t>
            </w:r>
          </w:p>
        </w:tc>
      </w:tr>
      <w:tr w:rsidR="003112D3" w:rsidRPr="005A1B08" w:rsidTr="00E37915">
        <w:tc>
          <w:tcPr>
            <w:tcW w:w="1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D3" w:rsidRPr="005A1B08" w:rsidRDefault="003112D3" w:rsidP="00E37915">
            <w:pPr>
              <w:rPr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5A1B08" w:rsidRDefault="003112D3" w:rsidP="00E37915">
            <w:pPr>
              <w:jc w:val="center"/>
              <w:rPr>
                <w:sz w:val="15"/>
                <w:szCs w:val="15"/>
              </w:rPr>
            </w:pPr>
            <w:r w:rsidRPr="005A1B08">
              <w:rPr>
                <w:sz w:val="15"/>
                <w:szCs w:val="15"/>
              </w:rPr>
              <w:t>2026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0F43CA" w:rsidRDefault="003112D3" w:rsidP="00E37915">
            <w:pPr>
              <w:jc w:val="both"/>
              <w:rPr>
                <w:sz w:val="15"/>
                <w:szCs w:val="15"/>
              </w:rPr>
            </w:pPr>
            <w:r w:rsidRPr="000F43CA">
              <w:rPr>
                <w:sz w:val="15"/>
                <w:szCs w:val="15"/>
              </w:rPr>
              <w:t>907 654,10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0F43CA" w:rsidRDefault="003112D3" w:rsidP="00E37915">
            <w:pPr>
              <w:jc w:val="both"/>
              <w:rPr>
                <w:sz w:val="15"/>
                <w:szCs w:val="15"/>
              </w:rPr>
            </w:pPr>
            <w:r w:rsidRPr="000F43CA">
              <w:rPr>
                <w:sz w:val="15"/>
                <w:szCs w:val="15"/>
              </w:rPr>
              <w:t>0,00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0F43CA" w:rsidRDefault="003112D3" w:rsidP="00E37915">
            <w:pPr>
              <w:jc w:val="both"/>
              <w:rPr>
                <w:sz w:val="15"/>
                <w:szCs w:val="15"/>
              </w:rPr>
            </w:pPr>
            <w:r w:rsidRPr="000F43CA">
              <w:rPr>
                <w:sz w:val="15"/>
                <w:szCs w:val="15"/>
              </w:rPr>
              <w:t>0,00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0F43CA" w:rsidRDefault="003112D3" w:rsidP="00E37915">
            <w:pPr>
              <w:jc w:val="both"/>
              <w:rPr>
                <w:sz w:val="15"/>
                <w:szCs w:val="15"/>
              </w:rPr>
            </w:pPr>
            <w:r w:rsidRPr="000F43CA">
              <w:rPr>
                <w:sz w:val="15"/>
                <w:szCs w:val="15"/>
              </w:rPr>
              <w:t>10 379,00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0F43CA" w:rsidRDefault="003112D3" w:rsidP="00E37915">
            <w:pPr>
              <w:jc w:val="both"/>
              <w:rPr>
                <w:sz w:val="15"/>
                <w:szCs w:val="15"/>
              </w:rPr>
            </w:pPr>
            <w:r w:rsidRPr="000F43CA">
              <w:rPr>
                <w:sz w:val="15"/>
                <w:szCs w:val="15"/>
              </w:rPr>
              <w:t>897 275,10</w:t>
            </w:r>
          </w:p>
        </w:tc>
      </w:tr>
      <w:tr w:rsidR="003112D3" w:rsidRPr="005A1B08" w:rsidTr="00E37915">
        <w:tc>
          <w:tcPr>
            <w:tcW w:w="1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D3" w:rsidRPr="005A1B08" w:rsidRDefault="003112D3" w:rsidP="00E37915">
            <w:pPr>
              <w:rPr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5A1B08" w:rsidRDefault="003112D3" w:rsidP="00E37915">
            <w:pPr>
              <w:jc w:val="center"/>
              <w:rPr>
                <w:sz w:val="15"/>
                <w:szCs w:val="15"/>
              </w:rPr>
            </w:pPr>
            <w:r w:rsidRPr="005A1B08">
              <w:rPr>
                <w:sz w:val="15"/>
                <w:szCs w:val="15"/>
              </w:rPr>
              <w:t>2027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0F43CA" w:rsidRDefault="003112D3" w:rsidP="00E37915">
            <w:pPr>
              <w:jc w:val="both"/>
              <w:rPr>
                <w:sz w:val="15"/>
                <w:szCs w:val="15"/>
              </w:rPr>
            </w:pPr>
            <w:r w:rsidRPr="000F43CA">
              <w:rPr>
                <w:sz w:val="15"/>
                <w:szCs w:val="15"/>
              </w:rPr>
              <w:t>993 748,85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0F43CA" w:rsidRDefault="003112D3" w:rsidP="00E37915">
            <w:pPr>
              <w:jc w:val="both"/>
              <w:rPr>
                <w:sz w:val="15"/>
                <w:szCs w:val="15"/>
              </w:rPr>
            </w:pPr>
            <w:r w:rsidRPr="000F43CA">
              <w:rPr>
                <w:sz w:val="15"/>
                <w:szCs w:val="15"/>
              </w:rPr>
              <w:t>0,00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0F43CA" w:rsidRDefault="003112D3" w:rsidP="00E37915">
            <w:pPr>
              <w:jc w:val="both"/>
              <w:rPr>
                <w:sz w:val="15"/>
                <w:szCs w:val="15"/>
              </w:rPr>
            </w:pPr>
            <w:r w:rsidRPr="000F43CA">
              <w:rPr>
                <w:sz w:val="15"/>
                <w:szCs w:val="15"/>
              </w:rPr>
              <w:t>0,00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0F43CA" w:rsidRDefault="003112D3" w:rsidP="00E37915">
            <w:pPr>
              <w:jc w:val="both"/>
              <w:rPr>
                <w:sz w:val="15"/>
                <w:szCs w:val="15"/>
              </w:rPr>
            </w:pPr>
            <w:r w:rsidRPr="000F43CA">
              <w:rPr>
                <w:sz w:val="15"/>
                <w:szCs w:val="15"/>
              </w:rPr>
              <w:t>8 740,19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0F43CA" w:rsidRDefault="003112D3" w:rsidP="00E37915">
            <w:pPr>
              <w:jc w:val="both"/>
              <w:rPr>
                <w:sz w:val="15"/>
                <w:szCs w:val="15"/>
              </w:rPr>
            </w:pPr>
            <w:r w:rsidRPr="000F43CA">
              <w:rPr>
                <w:sz w:val="15"/>
                <w:szCs w:val="15"/>
              </w:rPr>
              <w:t>985 008,66</w:t>
            </w:r>
          </w:p>
        </w:tc>
      </w:tr>
      <w:tr w:rsidR="003112D3" w:rsidRPr="005A1B08" w:rsidTr="00E37915">
        <w:tc>
          <w:tcPr>
            <w:tcW w:w="1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D3" w:rsidRPr="005A1B08" w:rsidRDefault="003112D3" w:rsidP="00E37915">
            <w:pPr>
              <w:rPr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5A1B08" w:rsidRDefault="003112D3" w:rsidP="00E37915">
            <w:pPr>
              <w:jc w:val="center"/>
              <w:rPr>
                <w:sz w:val="15"/>
                <w:szCs w:val="15"/>
              </w:rPr>
            </w:pPr>
            <w:r w:rsidRPr="005A1B08">
              <w:rPr>
                <w:sz w:val="15"/>
                <w:szCs w:val="15"/>
              </w:rPr>
              <w:t>II этап, всего (2028-2041)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F556ED" w:rsidRDefault="003112D3" w:rsidP="00E37915">
            <w:pPr>
              <w:jc w:val="both"/>
              <w:rPr>
                <w:sz w:val="15"/>
                <w:szCs w:val="15"/>
              </w:rPr>
            </w:pPr>
            <w:r w:rsidRPr="00F556ED">
              <w:rPr>
                <w:sz w:val="15"/>
                <w:szCs w:val="15"/>
              </w:rPr>
              <w:t>36 143 923,50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F556ED" w:rsidRDefault="003112D3" w:rsidP="00E37915">
            <w:pPr>
              <w:jc w:val="both"/>
              <w:rPr>
                <w:sz w:val="15"/>
                <w:szCs w:val="15"/>
              </w:rPr>
            </w:pPr>
            <w:r w:rsidRPr="00F556ED">
              <w:rPr>
                <w:sz w:val="15"/>
                <w:szCs w:val="15"/>
              </w:rPr>
              <w:t>2 784 512,40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F556ED" w:rsidRDefault="003112D3" w:rsidP="00E37915">
            <w:pPr>
              <w:jc w:val="both"/>
              <w:rPr>
                <w:sz w:val="15"/>
                <w:szCs w:val="15"/>
              </w:rPr>
            </w:pPr>
            <w:r w:rsidRPr="00F556ED">
              <w:rPr>
                <w:sz w:val="15"/>
                <w:szCs w:val="15"/>
              </w:rPr>
              <w:t>32 219 649,60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F556ED" w:rsidRDefault="003112D3" w:rsidP="00E37915">
            <w:pPr>
              <w:jc w:val="both"/>
              <w:rPr>
                <w:sz w:val="15"/>
                <w:szCs w:val="15"/>
              </w:rPr>
            </w:pPr>
            <w:r w:rsidRPr="00F556ED">
              <w:rPr>
                <w:sz w:val="15"/>
                <w:szCs w:val="15"/>
              </w:rPr>
              <w:t>1 132 524,40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F556ED" w:rsidRDefault="003112D3" w:rsidP="00E37915">
            <w:pPr>
              <w:jc w:val="both"/>
              <w:rPr>
                <w:sz w:val="15"/>
                <w:szCs w:val="15"/>
              </w:rPr>
            </w:pPr>
            <w:r w:rsidRPr="00F556ED">
              <w:rPr>
                <w:sz w:val="15"/>
                <w:szCs w:val="15"/>
              </w:rPr>
              <w:t>7 237,10</w:t>
            </w:r>
          </w:p>
        </w:tc>
      </w:tr>
    </w:tbl>
    <w:p w:rsidR="003112D3" w:rsidRPr="005A1B08" w:rsidRDefault="003112D3" w:rsidP="003112D3">
      <w:pPr>
        <w:jc w:val="both"/>
      </w:pPr>
      <w:r>
        <w:rPr>
          <w:noProof/>
        </w:rPr>
        <w:drawing>
          <wp:inline distT="0" distB="0" distL="0" distR="0" wp14:anchorId="37114A97" wp14:editId="2D6762D7">
            <wp:extent cx="5886450" cy="293370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112D3" w:rsidRPr="005A1B08" w:rsidRDefault="003112D3" w:rsidP="003112D3">
      <w:pPr>
        <w:jc w:val="center"/>
        <w:rPr>
          <w:i/>
        </w:rPr>
      </w:pPr>
      <w:r w:rsidRPr="005A1B08">
        <w:rPr>
          <w:i/>
        </w:rPr>
        <w:t>Рис. 20. Доля финансирования мероприятий транспортной инфраструктуры по источникам</w:t>
      </w:r>
    </w:p>
    <w:p w:rsidR="003112D3" w:rsidRPr="005A1B08" w:rsidRDefault="003112D3" w:rsidP="003112D3">
      <w:pPr>
        <w:spacing w:before="120" w:line="360" w:lineRule="auto"/>
        <w:jc w:val="right"/>
        <w:rPr>
          <w:i/>
        </w:rPr>
      </w:pPr>
      <w:r w:rsidRPr="005A1B08">
        <w:rPr>
          <w:i/>
        </w:rPr>
        <w:t>Таблица № 41</w:t>
      </w:r>
    </w:p>
    <w:p w:rsidR="003112D3" w:rsidRPr="0057723B" w:rsidRDefault="003112D3" w:rsidP="003112D3">
      <w:pPr>
        <w:spacing w:after="60"/>
        <w:jc w:val="center"/>
        <w:rPr>
          <w:i/>
        </w:rPr>
      </w:pPr>
      <w:r w:rsidRPr="0057723B">
        <w:rPr>
          <w:i/>
        </w:rPr>
        <w:lastRenderedPageBreak/>
        <w:t>Оценка расходов бюджетных средств по годам и этапам реализации мероприятий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2350"/>
        <w:gridCol w:w="2296"/>
        <w:gridCol w:w="2080"/>
      </w:tblGrid>
      <w:tr w:rsidR="003112D3" w:rsidRPr="005A1B08" w:rsidTr="00E37915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D3" w:rsidRPr="005A1B08" w:rsidRDefault="003112D3" w:rsidP="00E37915">
            <w:pPr>
              <w:jc w:val="center"/>
              <w:rPr>
                <w:sz w:val="20"/>
                <w:szCs w:val="20"/>
              </w:rPr>
            </w:pPr>
            <w:r w:rsidRPr="005A1B08">
              <w:rPr>
                <w:sz w:val="20"/>
                <w:szCs w:val="20"/>
              </w:rPr>
              <w:t>Оценка расходов по годам и этапам реализации мероприятий, тыс. руб.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D3" w:rsidRPr="005A1B08" w:rsidRDefault="003112D3" w:rsidP="00E37915">
            <w:pPr>
              <w:jc w:val="center"/>
              <w:rPr>
                <w:sz w:val="20"/>
                <w:szCs w:val="20"/>
              </w:rPr>
            </w:pPr>
            <w:r w:rsidRPr="005A1B08">
              <w:rPr>
                <w:sz w:val="20"/>
                <w:szCs w:val="20"/>
              </w:rPr>
              <w:t>I этап (2023-2027)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D3" w:rsidRPr="005A1B08" w:rsidRDefault="003112D3" w:rsidP="00E37915">
            <w:pPr>
              <w:jc w:val="center"/>
              <w:rPr>
                <w:sz w:val="20"/>
                <w:szCs w:val="20"/>
              </w:rPr>
            </w:pPr>
            <w:r w:rsidRPr="005A1B08">
              <w:rPr>
                <w:sz w:val="20"/>
                <w:szCs w:val="20"/>
              </w:rPr>
              <w:t>II этап (2028-2041)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D3" w:rsidRPr="005A1B08" w:rsidRDefault="003112D3" w:rsidP="00E37915">
            <w:pPr>
              <w:jc w:val="center"/>
              <w:rPr>
                <w:sz w:val="20"/>
                <w:szCs w:val="20"/>
              </w:rPr>
            </w:pPr>
            <w:r w:rsidRPr="005A1B08">
              <w:rPr>
                <w:sz w:val="20"/>
                <w:szCs w:val="20"/>
              </w:rPr>
              <w:t>ВСЕГО</w:t>
            </w:r>
          </w:p>
          <w:p w:rsidR="003112D3" w:rsidRPr="005A1B08" w:rsidRDefault="003112D3" w:rsidP="00E37915">
            <w:pPr>
              <w:jc w:val="center"/>
              <w:rPr>
                <w:sz w:val="20"/>
                <w:szCs w:val="20"/>
              </w:rPr>
            </w:pPr>
            <w:r w:rsidRPr="005A1B08">
              <w:rPr>
                <w:sz w:val="20"/>
                <w:szCs w:val="20"/>
              </w:rPr>
              <w:t>по двум этапам</w:t>
            </w:r>
          </w:p>
        </w:tc>
      </w:tr>
      <w:tr w:rsidR="003112D3" w:rsidRPr="005A1B08" w:rsidTr="00E37915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5A1B08" w:rsidRDefault="003112D3" w:rsidP="00E37915">
            <w:pPr>
              <w:jc w:val="both"/>
              <w:rPr>
                <w:sz w:val="20"/>
                <w:szCs w:val="20"/>
              </w:rPr>
            </w:pPr>
            <w:r w:rsidRPr="005A1B08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20"/>
                <w:szCs w:val="20"/>
                <w:highlight w:val="yellow"/>
              </w:rPr>
            </w:pPr>
            <w:r w:rsidRPr="001E79A6">
              <w:rPr>
                <w:sz w:val="20"/>
                <w:szCs w:val="20"/>
              </w:rPr>
              <w:t>27 900 327,87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20"/>
                <w:szCs w:val="20"/>
                <w:highlight w:val="yellow"/>
              </w:rPr>
            </w:pPr>
            <w:r w:rsidRPr="000C10E8">
              <w:rPr>
                <w:sz w:val="20"/>
                <w:szCs w:val="20"/>
              </w:rPr>
              <w:t>67 199 046,12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20"/>
                <w:szCs w:val="20"/>
                <w:highlight w:val="yellow"/>
              </w:rPr>
            </w:pPr>
            <w:r w:rsidRPr="000C10E8">
              <w:rPr>
                <w:sz w:val="20"/>
                <w:szCs w:val="20"/>
              </w:rPr>
              <w:t>95 099 373,99</w:t>
            </w:r>
          </w:p>
        </w:tc>
      </w:tr>
      <w:tr w:rsidR="003112D3" w:rsidRPr="005A1B08" w:rsidTr="00E37915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5A1B08" w:rsidRDefault="003112D3" w:rsidP="00E37915">
            <w:pPr>
              <w:jc w:val="both"/>
              <w:rPr>
                <w:sz w:val="20"/>
                <w:szCs w:val="20"/>
              </w:rPr>
            </w:pPr>
            <w:r w:rsidRPr="005A1B0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1E79A6" w:rsidRDefault="003112D3" w:rsidP="00E37915">
            <w:pPr>
              <w:jc w:val="both"/>
              <w:rPr>
                <w:sz w:val="20"/>
                <w:szCs w:val="20"/>
                <w:highlight w:val="yellow"/>
              </w:rPr>
            </w:pPr>
            <w:r w:rsidRPr="001E79A6">
              <w:rPr>
                <w:color w:val="000000"/>
                <w:sz w:val="20"/>
                <w:szCs w:val="20"/>
              </w:rPr>
              <w:t>360 208,50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0C10E8" w:rsidRDefault="003112D3" w:rsidP="00E37915">
            <w:pPr>
              <w:jc w:val="both"/>
              <w:rPr>
                <w:sz w:val="20"/>
                <w:szCs w:val="20"/>
              </w:rPr>
            </w:pPr>
            <w:r w:rsidRPr="000C10E8">
              <w:rPr>
                <w:sz w:val="20"/>
                <w:szCs w:val="20"/>
              </w:rPr>
              <w:t>2 784 512,40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20"/>
                <w:szCs w:val="20"/>
                <w:highlight w:val="yellow"/>
              </w:rPr>
            </w:pPr>
            <w:r w:rsidRPr="000C10E8">
              <w:rPr>
                <w:sz w:val="20"/>
                <w:szCs w:val="20"/>
              </w:rPr>
              <w:t>3 144 720,90</w:t>
            </w:r>
          </w:p>
        </w:tc>
      </w:tr>
      <w:tr w:rsidR="003112D3" w:rsidRPr="005A1B08" w:rsidTr="00E37915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5A1B08" w:rsidRDefault="003112D3" w:rsidP="00E37915">
            <w:pPr>
              <w:jc w:val="both"/>
              <w:rPr>
                <w:sz w:val="20"/>
                <w:szCs w:val="20"/>
              </w:rPr>
            </w:pPr>
            <w:r w:rsidRPr="005A1B0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1E79A6" w:rsidRDefault="003112D3" w:rsidP="00E37915">
            <w:pPr>
              <w:jc w:val="both"/>
              <w:rPr>
                <w:sz w:val="20"/>
                <w:szCs w:val="20"/>
                <w:highlight w:val="yellow"/>
              </w:rPr>
            </w:pPr>
            <w:r w:rsidRPr="001E79A6">
              <w:rPr>
                <w:sz w:val="20"/>
                <w:szCs w:val="20"/>
              </w:rPr>
              <w:t>22 808 612,09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0C10E8" w:rsidRDefault="003112D3" w:rsidP="00E37915">
            <w:pPr>
              <w:jc w:val="both"/>
              <w:rPr>
                <w:sz w:val="20"/>
                <w:szCs w:val="20"/>
              </w:rPr>
            </w:pPr>
            <w:r w:rsidRPr="000C10E8">
              <w:rPr>
                <w:sz w:val="20"/>
                <w:szCs w:val="20"/>
              </w:rPr>
              <w:t>61 782 085,38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20"/>
                <w:szCs w:val="20"/>
                <w:highlight w:val="yellow"/>
              </w:rPr>
            </w:pPr>
            <w:r w:rsidRPr="000C10E8">
              <w:rPr>
                <w:sz w:val="20"/>
                <w:szCs w:val="20"/>
              </w:rPr>
              <w:t>84 590 697,47</w:t>
            </w:r>
          </w:p>
        </w:tc>
      </w:tr>
      <w:tr w:rsidR="003112D3" w:rsidRPr="005A1B08" w:rsidTr="00E37915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5A1B08" w:rsidRDefault="003112D3" w:rsidP="00E37915">
            <w:pPr>
              <w:jc w:val="both"/>
              <w:rPr>
                <w:sz w:val="20"/>
                <w:szCs w:val="20"/>
              </w:rPr>
            </w:pPr>
            <w:r w:rsidRPr="005A1B08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1E79A6" w:rsidRDefault="003112D3" w:rsidP="00E37915">
            <w:pPr>
              <w:jc w:val="both"/>
              <w:rPr>
                <w:sz w:val="20"/>
                <w:szCs w:val="20"/>
                <w:highlight w:val="yellow"/>
              </w:rPr>
            </w:pPr>
            <w:r w:rsidRPr="001E79A6">
              <w:rPr>
                <w:sz w:val="20"/>
                <w:szCs w:val="20"/>
              </w:rPr>
              <w:t>2 401 478,72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0C10E8" w:rsidRDefault="003112D3" w:rsidP="00E37915">
            <w:pPr>
              <w:jc w:val="both"/>
              <w:rPr>
                <w:sz w:val="20"/>
                <w:szCs w:val="20"/>
              </w:rPr>
            </w:pPr>
            <w:r w:rsidRPr="000C10E8">
              <w:rPr>
                <w:sz w:val="20"/>
                <w:szCs w:val="20"/>
              </w:rPr>
              <w:t>2 625 211,24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20"/>
                <w:szCs w:val="20"/>
                <w:highlight w:val="yellow"/>
              </w:rPr>
            </w:pPr>
            <w:r w:rsidRPr="000C10E8">
              <w:rPr>
                <w:sz w:val="20"/>
                <w:szCs w:val="20"/>
              </w:rPr>
              <w:t>5 026 689,96</w:t>
            </w:r>
          </w:p>
        </w:tc>
      </w:tr>
      <w:tr w:rsidR="003112D3" w:rsidRPr="005A1B08" w:rsidTr="00E37915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5A1B08" w:rsidRDefault="003112D3" w:rsidP="00E37915">
            <w:pPr>
              <w:jc w:val="both"/>
              <w:rPr>
                <w:sz w:val="20"/>
                <w:szCs w:val="20"/>
              </w:rPr>
            </w:pPr>
            <w:r w:rsidRPr="005A1B0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1E79A6" w:rsidRDefault="003112D3" w:rsidP="00E37915">
            <w:pPr>
              <w:rPr>
                <w:sz w:val="20"/>
                <w:szCs w:val="20"/>
                <w:highlight w:val="yellow"/>
              </w:rPr>
            </w:pPr>
            <w:r w:rsidRPr="001E79A6">
              <w:rPr>
                <w:sz w:val="20"/>
                <w:szCs w:val="20"/>
              </w:rPr>
              <w:t>2 330 028,56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20"/>
                <w:szCs w:val="20"/>
                <w:highlight w:val="yellow"/>
              </w:rPr>
            </w:pPr>
            <w:r w:rsidRPr="001E79A6">
              <w:rPr>
                <w:sz w:val="20"/>
                <w:szCs w:val="20"/>
              </w:rPr>
              <w:t>7 237,10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D3" w:rsidRPr="00357832" w:rsidRDefault="003112D3" w:rsidP="00E37915">
            <w:pPr>
              <w:jc w:val="both"/>
              <w:rPr>
                <w:sz w:val="20"/>
                <w:szCs w:val="20"/>
                <w:highlight w:val="yellow"/>
              </w:rPr>
            </w:pPr>
            <w:r w:rsidRPr="00BF06DC">
              <w:rPr>
                <w:sz w:val="20"/>
                <w:szCs w:val="20"/>
              </w:rPr>
              <w:t>2 337 265,6</w:t>
            </w:r>
            <w:r>
              <w:rPr>
                <w:sz w:val="20"/>
                <w:szCs w:val="20"/>
              </w:rPr>
              <w:t>6</w:t>
            </w:r>
          </w:p>
        </w:tc>
      </w:tr>
    </w:tbl>
    <w:p w:rsidR="003112D3" w:rsidRPr="005A1B08" w:rsidRDefault="003112D3" w:rsidP="003112D3">
      <w:pPr>
        <w:jc w:val="both"/>
        <w:rPr>
          <w:i/>
        </w:rPr>
      </w:pPr>
      <w:r>
        <w:rPr>
          <w:noProof/>
        </w:rPr>
        <w:drawing>
          <wp:inline distT="0" distB="0" distL="0" distR="0" wp14:anchorId="72479FBA" wp14:editId="40C7A9AB">
            <wp:extent cx="6038850" cy="302895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5A1B08">
        <w:rPr>
          <w:i/>
        </w:rPr>
        <w:t>Рис. 21. Доля финансирования мероприятий всего по двум этапам</w:t>
      </w:r>
    </w:p>
    <w:p w:rsidR="003112D3" w:rsidRPr="005A1B08" w:rsidRDefault="003112D3" w:rsidP="003112D3">
      <w:pPr>
        <w:spacing w:line="360" w:lineRule="auto"/>
        <w:ind w:right="-6" w:firstLine="709"/>
        <w:jc w:val="both"/>
        <w:rPr>
          <w:rFonts w:eastAsia="Arial CYR"/>
          <w:sz w:val="36"/>
          <w:szCs w:val="28"/>
        </w:rPr>
      </w:pPr>
      <w:r w:rsidRPr="005A1B08">
        <w:rPr>
          <w:sz w:val="28"/>
        </w:rPr>
        <w:t>На рисунках 20-21 и в таблице № 41 приведены оценка расходов и доли финансирования мероприятий (по двум этапам). Объемы финансирования носят прогнозный характе</w:t>
      </w:r>
      <w:r>
        <w:rPr>
          <w:sz w:val="28"/>
        </w:rPr>
        <w:t>р и подлежат уточнению ежегодно</w:t>
      </w:r>
      <w:proofErr w:type="gramStart"/>
      <w:r>
        <w:rPr>
          <w:sz w:val="28"/>
        </w:rPr>
        <w:t>.».</w:t>
      </w:r>
      <w:proofErr w:type="gramEnd"/>
    </w:p>
    <w:p w:rsidR="00A94ED1" w:rsidRDefault="00A94ED1">
      <w:bookmarkStart w:id="0" w:name="_GoBack"/>
      <w:bookmarkEnd w:id="0"/>
    </w:p>
    <w:sectPr w:rsidR="00A94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D3"/>
    <w:rsid w:val="003112D3"/>
    <w:rsid w:val="00A9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2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2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2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2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45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45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45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45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2568889777219464E-2"/>
                  <c:y val="1.276654338142274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3.7745016560403577E-2"/>
                  <c:y val="-1.053132255034294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1.9539187719497194E-2"/>
                  <c:y val="1.523710287841365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4.0427095992691293E-3"/>
                  <c:y val="-2.625631458987189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 w="2539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2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Лист1!$A$2:$A$5</c:f>
              <c:strCache>
                <c:ptCount val="4"/>
                <c:pt idx="0">
                  <c:v>Федеральный бюджет</c:v>
                </c:pt>
                <c:pt idx="1">
                  <c:v>Областной бюджет</c:v>
                </c:pt>
                <c:pt idx="2">
                  <c:v>Местные бюджеты</c:v>
                </c:pt>
                <c:pt idx="3">
                  <c:v>Внебюджетные источники финансирования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360208.5</c:v>
                </c:pt>
                <c:pt idx="1">
                  <c:v>51770648.240000002</c:v>
                </c:pt>
                <c:pt idx="2">
                  <c:v>3840215.37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3">
          <a:noFill/>
        </a:ln>
      </c:spPr>
    </c:plotArea>
    <c:legend>
      <c:legendPos val="r"/>
      <c:layout>
        <c:manualLayout>
          <c:xMode val="edge"/>
          <c:yMode val="edge"/>
          <c:x val="0.68126094570928197"/>
          <c:y val="0.22653721682847897"/>
          <c:w val="0.28021015761821366"/>
          <c:h val="0.66019417475728159"/>
        </c:manualLayout>
      </c:layout>
      <c:overlay val="0"/>
      <c:spPr>
        <a:noFill/>
        <a:ln w="25393">
          <a:noFill/>
        </a:ln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3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3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3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3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6.2780905473335353E-3"/>
                  <c:y val="1.938482915764286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9.0839844759453073E-2"/>
                  <c:y val="-3.84641482442107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1.9456499835099429E-2"/>
                  <c:y val="-1.134425424263457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2.8194462472114632E-2"/>
                  <c:y val="-3.8130834439690227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 w="25404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7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Лист1!$A$2:$A$5</c:f>
              <c:strCache>
                <c:ptCount val="4"/>
                <c:pt idx="0">
                  <c:v>Федеральный бюджет</c:v>
                </c:pt>
                <c:pt idx="1">
                  <c:v>Областной бюджет</c:v>
                </c:pt>
                <c:pt idx="2">
                  <c:v>Местные бюджеты</c:v>
                </c:pt>
                <c:pt idx="3">
                  <c:v>Внебюджетные источники финансирования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2784512.4</c:v>
                </c:pt>
                <c:pt idx="1">
                  <c:v>32820049.23</c:v>
                </c:pt>
                <c:pt idx="2">
                  <c:v>1186474.5900000001</c:v>
                </c:pt>
                <c:pt idx="3">
                  <c:v>2337265.66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4">
          <a:noFill/>
        </a:ln>
      </c:spPr>
    </c:plotArea>
    <c:legend>
      <c:legendPos val="r"/>
      <c:layout>
        <c:manualLayout>
          <c:xMode val="edge"/>
          <c:yMode val="edge"/>
          <c:x val="0.68204283360790774"/>
          <c:y val="0.22483221476510068"/>
          <c:w val="0.28171334431630973"/>
          <c:h val="0.66107382550335569"/>
        </c:manualLayout>
      </c:layout>
      <c:overlay val="0"/>
      <c:spPr>
        <a:noFill/>
        <a:ln w="25404">
          <a:noFill/>
        </a:ln>
      </c:spPr>
      <c:txPr>
        <a:bodyPr/>
        <a:lstStyle/>
        <a:p>
          <a:pPr>
            <a:defRPr sz="1010" b="0" i="0" u="none" strike="noStrike" baseline="0">
              <a:solidFill>
                <a:srgbClr val="333333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77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77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77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77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72162889751142E-2"/>
                  <c:y val="7.1404323670897609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9025485370569728"/>
                  <c:y val="-9.551576706685051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4.1813425007267348E-2"/>
                  <c:y val="-1.97901918411618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2.1661842831443821E-2"/>
                  <c:y val="-2.336703180241271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 w="2543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2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39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Лист1!$A$2:$A$5</c:f>
              <c:strCache>
                <c:ptCount val="4"/>
                <c:pt idx="0">
                  <c:v>Федеральный бюджет</c:v>
                </c:pt>
                <c:pt idx="1">
                  <c:v>Областной бюджет</c:v>
                </c:pt>
                <c:pt idx="2">
                  <c:v>Местные бюджеты</c:v>
                </c:pt>
                <c:pt idx="3">
                  <c:v>Внебюджетные источники финансирования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3144720.9</c:v>
                </c:pt>
                <c:pt idx="1">
                  <c:v>84590697.469999999</c:v>
                </c:pt>
                <c:pt idx="2">
                  <c:v>5026689.96</c:v>
                </c:pt>
                <c:pt idx="3">
                  <c:v>2337265.66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37">
          <a:noFill/>
        </a:ln>
      </c:spPr>
    </c:plotArea>
    <c:legend>
      <c:legendPos val="r"/>
      <c:layout>
        <c:manualLayout>
          <c:xMode val="edge"/>
          <c:yMode val="edge"/>
          <c:x val="0.6853932584269663"/>
          <c:y val="0.22727272727272727"/>
          <c:w val="0.2808988764044944"/>
          <c:h val="0.66233766233766234"/>
        </c:manualLayout>
      </c:layout>
      <c:overlay val="0"/>
      <c:spPr>
        <a:noFill/>
        <a:ln w="25437">
          <a:noFill/>
        </a:ln>
      </c:spPr>
      <c:txPr>
        <a:bodyPr rot="0" spcFirstLastPara="1" vertOverflow="ellipsis" vert="horz" wrap="square" anchor="ctr" anchorCtr="1"/>
        <a:lstStyle/>
        <a:p>
          <a:pPr>
            <a:defRPr sz="1102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3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  <c:userShapes r:id="rId3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0.69751</cdr:x>
      <cdr:y>0.08829</cdr:y>
    </cdr:from>
    <cdr:to>
      <cdr:x>0.9581</cdr:x>
      <cdr:y>0.19496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457700" y="265074"/>
          <a:ext cx="1658256" cy="320588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0.70226</cdr:x>
      <cdr:y>0.08129</cdr:y>
    </cdr:from>
    <cdr:to>
      <cdr:x>0.9586</cdr:x>
      <cdr:y>0.18671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457700" y="265074"/>
          <a:ext cx="1658256" cy="320588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0.70051</cdr:x>
      <cdr:y>0.08554</cdr:y>
    </cdr:from>
    <cdr:to>
      <cdr:x>0.9586</cdr:x>
      <cdr:y>0.19146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457700" y="265074"/>
          <a:ext cx="1658256" cy="320588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2024-05-03T07:58:00Z</dcterms:created>
  <dcterms:modified xsi:type="dcterms:W3CDTF">2024-05-03T07:58:00Z</dcterms:modified>
</cp:coreProperties>
</file>