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60" w:rsidRDefault="00E77C60" w:rsidP="003C1A45">
      <w:pPr>
        <w:pStyle w:val="ConsPlusNormal"/>
        <w:jc w:val="center"/>
        <w:rPr>
          <w:b/>
          <w:sz w:val="22"/>
          <w:szCs w:val="22"/>
        </w:rPr>
      </w:pPr>
    </w:p>
    <w:p w:rsidR="00330250" w:rsidRDefault="00330250" w:rsidP="003C1A45">
      <w:pPr>
        <w:pStyle w:val="ConsPlusNormal"/>
        <w:jc w:val="center"/>
        <w:rPr>
          <w:b/>
          <w:sz w:val="22"/>
          <w:szCs w:val="22"/>
        </w:rPr>
      </w:pPr>
    </w:p>
    <w:p w:rsidR="00D94D4E" w:rsidRDefault="003C1A45" w:rsidP="003C1A45">
      <w:pPr>
        <w:pStyle w:val="ConsPlusNormal"/>
        <w:jc w:val="center"/>
        <w:rPr>
          <w:b/>
          <w:sz w:val="22"/>
          <w:szCs w:val="22"/>
        </w:rPr>
      </w:pPr>
      <w:r w:rsidRPr="002F0BD7">
        <w:rPr>
          <w:b/>
          <w:sz w:val="22"/>
          <w:szCs w:val="22"/>
        </w:rPr>
        <w:t xml:space="preserve">ЗАКЛЮЧЕНИЕ О РЕЗУЛЬТАТАХ </w:t>
      </w:r>
      <w:r w:rsidR="00D94D4E">
        <w:rPr>
          <w:b/>
          <w:sz w:val="22"/>
          <w:szCs w:val="22"/>
        </w:rPr>
        <w:t xml:space="preserve">ПУБЛИЧНЫХ СЛУШАНИЙ ИЛИ </w:t>
      </w:r>
    </w:p>
    <w:p w:rsidR="003C1A45" w:rsidRPr="00A8264B" w:rsidRDefault="005769A0" w:rsidP="00862CA8">
      <w:pPr>
        <w:pStyle w:val="ConsPlusNormal"/>
        <w:jc w:val="center"/>
        <w:rPr>
          <w:sz w:val="28"/>
          <w:szCs w:val="28"/>
        </w:rPr>
      </w:pPr>
      <w:r w:rsidRPr="002F0BD7">
        <w:rPr>
          <w:b/>
          <w:sz w:val="22"/>
          <w:szCs w:val="22"/>
        </w:rPr>
        <w:t>ОБЩЕСТВЕННЫХ ОБСУЖДЕНИЙ</w:t>
      </w:r>
    </w:p>
    <w:p w:rsidR="00D5503A" w:rsidRPr="00D5503A" w:rsidRDefault="003C1A45" w:rsidP="003C1A45">
      <w:pPr>
        <w:pStyle w:val="ConsPlusNonformat"/>
        <w:jc w:val="both"/>
        <w:rPr>
          <w:rFonts w:ascii="Times New Roman" w:hAnsi="Times New Roman" w:cs="Times New Roman"/>
          <w:sz w:val="24"/>
          <w:szCs w:val="24"/>
        </w:rPr>
      </w:pPr>
      <w:r w:rsidRPr="002F0BD7">
        <w:rPr>
          <w:rFonts w:ascii="Times New Roman" w:hAnsi="Times New Roman" w:cs="Times New Roman"/>
          <w:sz w:val="26"/>
          <w:szCs w:val="26"/>
          <w:u w:val="single"/>
        </w:rPr>
        <w:t>«</w:t>
      </w:r>
      <w:r w:rsidR="00862CA8">
        <w:rPr>
          <w:rFonts w:ascii="Times New Roman" w:hAnsi="Times New Roman" w:cs="Times New Roman"/>
          <w:sz w:val="26"/>
          <w:szCs w:val="26"/>
          <w:u w:val="single"/>
        </w:rPr>
        <w:t>2</w:t>
      </w:r>
      <w:r w:rsidR="00E77C60">
        <w:rPr>
          <w:rFonts w:ascii="Times New Roman" w:hAnsi="Times New Roman" w:cs="Times New Roman"/>
          <w:sz w:val="26"/>
          <w:szCs w:val="26"/>
          <w:u w:val="single"/>
        </w:rPr>
        <w:t>2</w:t>
      </w:r>
      <w:r w:rsidRPr="002F0BD7">
        <w:rPr>
          <w:rFonts w:ascii="Times New Roman" w:hAnsi="Times New Roman" w:cs="Times New Roman"/>
          <w:sz w:val="26"/>
          <w:szCs w:val="26"/>
          <w:u w:val="single"/>
        </w:rPr>
        <w:t>»</w:t>
      </w:r>
      <w:r w:rsidR="004B4EC3" w:rsidRPr="002F0BD7">
        <w:rPr>
          <w:rFonts w:ascii="Times New Roman" w:hAnsi="Times New Roman" w:cs="Times New Roman"/>
          <w:sz w:val="26"/>
          <w:szCs w:val="26"/>
          <w:u w:val="single"/>
        </w:rPr>
        <w:t xml:space="preserve"> </w:t>
      </w:r>
      <w:r w:rsidR="00CE78F4">
        <w:rPr>
          <w:rFonts w:ascii="Times New Roman" w:hAnsi="Times New Roman" w:cs="Times New Roman"/>
          <w:sz w:val="26"/>
          <w:szCs w:val="26"/>
          <w:u w:val="single"/>
        </w:rPr>
        <w:t>дека</w:t>
      </w:r>
      <w:r w:rsidR="00755334">
        <w:rPr>
          <w:rFonts w:ascii="Times New Roman" w:hAnsi="Times New Roman" w:cs="Times New Roman"/>
          <w:sz w:val="26"/>
          <w:szCs w:val="26"/>
          <w:u w:val="single"/>
        </w:rPr>
        <w:t>бря</w:t>
      </w:r>
      <w:r w:rsidR="00335F9A" w:rsidRPr="002F0BD7">
        <w:rPr>
          <w:rFonts w:ascii="Times New Roman" w:hAnsi="Times New Roman" w:cs="Times New Roman"/>
          <w:sz w:val="26"/>
          <w:szCs w:val="26"/>
          <w:u w:val="single"/>
        </w:rPr>
        <w:t xml:space="preserve"> </w:t>
      </w:r>
      <w:r w:rsidRPr="002F0BD7">
        <w:rPr>
          <w:rFonts w:ascii="Times New Roman" w:hAnsi="Times New Roman" w:cs="Times New Roman"/>
          <w:sz w:val="26"/>
          <w:szCs w:val="26"/>
          <w:u w:val="single"/>
        </w:rPr>
        <w:t>20</w:t>
      </w:r>
      <w:r w:rsidR="00D71F9D" w:rsidRPr="002F0BD7">
        <w:rPr>
          <w:rFonts w:ascii="Times New Roman" w:hAnsi="Times New Roman" w:cs="Times New Roman"/>
          <w:sz w:val="26"/>
          <w:szCs w:val="26"/>
          <w:u w:val="single"/>
        </w:rPr>
        <w:t>2</w:t>
      </w:r>
      <w:r w:rsidR="00840265" w:rsidRPr="002F0BD7">
        <w:rPr>
          <w:rFonts w:ascii="Times New Roman" w:hAnsi="Times New Roman" w:cs="Times New Roman"/>
          <w:sz w:val="26"/>
          <w:szCs w:val="26"/>
          <w:u w:val="single"/>
        </w:rPr>
        <w:t>2</w:t>
      </w:r>
      <w:r w:rsidR="00827F08" w:rsidRPr="002F0BD7">
        <w:rPr>
          <w:rFonts w:ascii="Times New Roman" w:hAnsi="Times New Roman" w:cs="Times New Roman"/>
          <w:sz w:val="26"/>
          <w:szCs w:val="26"/>
          <w:u w:val="single"/>
        </w:rPr>
        <w:t xml:space="preserve"> г.</w:t>
      </w:r>
      <w:r w:rsidRPr="002F0BD7">
        <w:rPr>
          <w:rFonts w:ascii="Times New Roman" w:hAnsi="Times New Roman" w:cs="Times New Roman"/>
          <w:sz w:val="26"/>
          <w:szCs w:val="26"/>
        </w:rPr>
        <w:t xml:space="preserve">                                           </w:t>
      </w:r>
      <w:r w:rsidR="001D0E0A" w:rsidRPr="002F0BD7">
        <w:rPr>
          <w:rFonts w:ascii="Times New Roman" w:hAnsi="Times New Roman" w:cs="Times New Roman"/>
          <w:sz w:val="26"/>
          <w:szCs w:val="26"/>
        </w:rPr>
        <w:t xml:space="preserve"> </w:t>
      </w:r>
      <w:r w:rsidR="001D0E0A" w:rsidRPr="002F0BD7">
        <w:rPr>
          <w:rFonts w:ascii="Times New Roman" w:hAnsi="Times New Roman" w:cs="Times New Roman"/>
          <w:sz w:val="26"/>
          <w:szCs w:val="26"/>
        </w:rPr>
        <w:tab/>
      </w:r>
      <w:r w:rsidR="001D0E0A" w:rsidRPr="002F0BD7">
        <w:rPr>
          <w:rFonts w:ascii="Times New Roman" w:hAnsi="Times New Roman" w:cs="Times New Roman"/>
          <w:sz w:val="26"/>
          <w:szCs w:val="26"/>
        </w:rPr>
        <w:tab/>
      </w:r>
      <w:r w:rsidR="001D0E0A" w:rsidRPr="002F0BD7">
        <w:rPr>
          <w:rFonts w:ascii="Times New Roman" w:hAnsi="Times New Roman" w:cs="Times New Roman"/>
          <w:sz w:val="26"/>
          <w:szCs w:val="26"/>
        </w:rPr>
        <w:tab/>
      </w:r>
      <w:r w:rsidR="001D0E0A" w:rsidRPr="002F0BD7">
        <w:rPr>
          <w:rFonts w:ascii="Times New Roman" w:hAnsi="Times New Roman" w:cs="Times New Roman"/>
          <w:sz w:val="26"/>
          <w:szCs w:val="26"/>
        </w:rPr>
        <w:tab/>
      </w:r>
      <w:r w:rsidR="00827F08" w:rsidRPr="002F0BD7">
        <w:rPr>
          <w:rFonts w:ascii="Times New Roman" w:hAnsi="Times New Roman" w:cs="Times New Roman"/>
          <w:sz w:val="26"/>
          <w:szCs w:val="26"/>
        </w:rPr>
        <w:t xml:space="preserve">   </w:t>
      </w:r>
      <w:r w:rsidR="00131B7B">
        <w:rPr>
          <w:rFonts w:ascii="Times New Roman" w:hAnsi="Times New Roman" w:cs="Times New Roman"/>
          <w:sz w:val="26"/>
          <w:szCs w:val="26"/>
        </w:rPr>
        <w:t xml:space="preserve">  </w:t>
      </w:r>
      <w:r w:rsidRPr="002F0BD7">
        <w:rPr>
          <w:rFonts w:ascii="Times New Roman" w:hAnsi="Times New Roman" w:cs="Times New Roman"/>
          <w:sz w:val="26"/>
          <w:szCs w:val="26"/>
        </w:rPr>
        <w:t>г. Воронеж</w:t>
      </w:r>
    </w:p>
    <w:p w:rsidR="00862CA8" w:rsidRDefault="003C1A45" w:rsidP="00CE78F4">
      <w:pPr>
        <w:jc w:val="both"/>
        <w:rPr>
          <w:sz w:val="28"/>
          <w:szCs w:val="28"/>
        </w:rPr>
      </w:pPr>
      <w:r w:rsidRPr="001D0E0A">
        <w:rPr>
          <w:sz w:val="28"/>
          <w:szCs w:val="28"/>
        </w:rPr>
        <w:tab/>
      </w:r>
    </w:p>
    <w:p w:rsidR="00CE78F4" w:rsidRPr="00862CA8" w:rsidRDefault="00D05F90" w:rsidP="00862CA8">
      <w:pPr>
        <w:ind w:firstLine="708"/>
        <w:jc w:val="both"/>
      </w:pPr>
      <w:proofErr w:type="gramStart"/>
      <w:r w:rsidRPr="00862CA8">
        <w:t xml:space="preserve">Постановление администрации городского округа город Воронеж </w:t>
      </w:r>
      <w:r w:rsidR="00A920A4" w:rsidRPr="00862CA8">
        <w:rPr>
          <w:bCs/>
        </w:rPr>
        <w:t xml:space="preserve">по </w:t>
      </w:r>
      <w:r w:rsidR="00A800ED" w:rsidRPr="00862CA8">
        <w:rPr>
          <w:rFonts w:eastAsiaTheme="minorHAnsi"/>
        </w:rPr>
        <w:t xml:space="preserve"> </w:t>
      </w:r>
      <w:r w:rsidR="00131B7B" w:rsidRPr="00862CA8">
        <w:rPr>
          <w:bCs/>
          <w:shd w:val="clear" w:color="auto" w:fill="FFFFFF"/>
        </w:rPr>
        <w:t xml:space="preserve">проекту </w:t>
      </w:r>
      <w:r w:rsidR="00386AB0" w:rsidRPr="00862CA8">
        <w:rPr>
          <w:bCs/>
          <w:shd w:val="clear" w:color="auto" w:fill="FFFFFF"/>
        </w:rPr>
        <w:t xml:space="preserve">решения о </w:t>
      </w:r>
      <w:r w:rsidR="003D6128" w:rsidRPr="00862CA8">
        <w:rPr>
          <w:bCs/>
          <w:shd w:val="clear" w:color="auto" w:fill="FFFFFF"/>
        </w:rPr>
        <w:t xml:space="preserve">предоставлении </w:t>
      </w:r>
      <w:r w:rsidR="00862CA8" w:rsidRPr="00862CA8">
        <w:rPr>
          <w:color w:val="000000"/>
          <w:shd w:val="clear" w:color="auto" w:fill="FFFFFF"/>
        </w:rPr>
        <w:t xml:space="preserve">Местной религиозной организации православный Приход храма-часовни в честь преставления святителя Митрофана, первого епископа Воронежского г. Воронежа религиозной организации «Воронежская епархия Русской православной церкви (Московский патриархат)» (ИНН 3663065880) разрешения на условно разрешенный вид использования «Осуществление религиозных обрядов» </w:t>
      </w:r>
      <w:r w:rsidR="00862CA8" w:rsidRPr="00862CA8">
        <w:rPr>
          <w:color w:val="000000"/>
          <w:u w:val="single"/>
          <w:shd w:val="clear" w:color="auto" w:fill="FFFFFF"/>
        </w:rPr>
        <w:t xml:space="preserve">земельного участка по ул. </w:t>
      </w:r>
      <w:proofErr w:type="spellStart"/>
      <w:r w:rsidR="00862CA8" w:rsidRPr="00862CA8">
        <w:rPr>
          <w:color w:val="000000"/>
          <w:u w:val="single"/>
          <w:shd w:val="clear" w:color="auto" w:fill="FFFFFF"/>
        </w:rPr>
        <w:t>Арзамасская</w:t>
      </w:r>
      <w:proofErr w:type="spellEnd"/>
      <w:r w:rsidR="00862CA8" w:rsidRPr="00862CA8">
        <w:rPr>
          <w:color w:val="000000"/>
          <w:u w:val="single"/>
          <w:shd w:val="clear" w:color="auto" w:fill="FFFFFF"/>
        </w:rPr>
        <w:t>, 2п (кадастровый номер 36:34:0304001:523)</w:t>
      </w:r>
      <w:r w:rsidR="00862CA8">
        <w:rPr>
          <w:color w:val="000000"/>
          <w:u w:val="single"/>
          <w:shd w:val="clear" w:color="auto" w:fill="FFFFFF"/>
        </w:rPr>
        <w:t>______</w:t>
      </w:r>
      <w:proofErr w:type="gramEnd"/>
    </w:p>
    <w:p w:rsidR="002F0BD7" w:rsidRDefault="003C1A45" w:rsidP="002F0BD7">
      <w:pPr>
        <w:jc w:val="both"/>
        <w:rPr>
          <w:i/>
        </w:rPr>
      </w:pPr>
      <w:r w:rsidRPr="00AD1A10">
        <w:rPr>
          <w:i/>
        </w:rPr>
        <w:t xml:space="preserve"> </w:t>
      </w:r>
      <w:r w:rsidR="0062750B">
        <w:rPr>
          <w:i/>
        </w:rPr>
        <w:t xml:space="preserve">                           </w:t>
      </w:r>
      <w:r w:rsidR="0062750B" w:rsidRPr="00AD1A10">
        <w:rPr>
          <w:i/>
        </w:rPr>
        <w:t>(наименование проекта муниципального правового акта)</w:t>
      </w:r>
    </w:p>
    <w:p w:rsidR="00D5503A" w:rsidRPr="00D5503A" w:rsidRDefault="00D5503A" w:rsidP="002F0BD7">
      <w:pPr>
        <w:jc w:val="both"/>
        <w:rPr>
          <w:i/>
          <w:sz w:val="10"/>
          <w:szCs w:val="10"/>
        </w:rPr>
      </w:pPr>
    </w:p>
    <w:p w:rsidR="00827FE5" w:rsidRPr="00C226D9" w:rsidRDefault="003C1A45" w:rsidP="00403E8D">
      <w:pPr>
        <w:jc w:val="both"/>
        <w:rPr>
          <w:i/>
          <w:sz w:val="26"/>
          <w:szCs w:val="26"/>
        </w:rPr>
      </w:pPr>
      <w:r w:rsidRPr="001D0E0A">
        <w:rPr>
          <w:sz w:val="28"/>
          <w:szCs w:val="28"/>
        </w:rPr>
        <w:tab/>
      </w:r>
      <w:proofErr w:type="gramStart"/>
      <w:r w:rsidRPr="00862CA8">
        <w:t xml:space="preserve">Постановление главы городского округа город Воронеж от </w:t>
      </w:r>
      <w:r w:rsidR="00CE78F4" w:rsidRPr="00862CA8">
        <w:t>0</w:t>
      </w:r>
      <w:r w:rsidR="00862CA8" w:rsidRPr="00862CA8">
        <w:t>2</w:t>
      </w:r>
      <w:r w:rsidR="0079428F" w:rsidRPr="00862CA8">
        <w:t>.</w:t>
      </w:r>
      <w:r w:rsidR="00C5317A" w:rsidRPr="00862CA8">
        <w:t>1</w:t>
      </w:r>
      <w:r w:rsidR="00862CA8" w:rsidRPr="00862CA8">
        <w:t>2</w:t>
      </w:r>
      <w:r w:rsidR="003E2C3F" w:rsidRPr="00862CA8">
        <w:rPr>
          <w:color w:val="000000"/>
        </w:rPr>
        <w:t>.</w:t>
      </w:r>
      <w:r w:rsidR="003459CF" w:rsidRPr="00862CA8">
        <w:rPr>
          <w:color w:val="000000"/>
        </w:rPr>
        <w:t>20</w:t>
      </w:r>
      <w:r w:rsidR="00D71F9D" w:rsidRPr="00862CA8">
        <w:rPr>
          <w:color w:val="000000"/>
        </w:rPr>
        <w:t>2</w:t>
      </w:r>
      <w:r w:rsidR="00862CA8">
        <w:rPr>
          <w:color w:val="000000"/>
        </w:rPr>
        <w:t>2</w:t>
      </w:r>
      <w:r w:rsidR="00D3619F" w:rsidRPr="00862CA8">
        <w:rPr>
          <w:color w:val="000000"/>
        </w:rPr>
        <w:t xml:space="preserve"> </w:t>
      </w:r>
      <w:r w:rsidR="003459CF" w:rsidRPr="00862CA8">
        <w:rPr>
          <w:color w:val="000000"/>
        </w:rPr>
        <w:t xml:space="preserve">№ </w:t>
      </w:r>
      <w:r w:rsidR="00CE78F4" w:rsidRPr="00862CA8">
        <w:rPr>
          <w:color w:val="000000"/>
        </w:rPr>
        <w:t>2</w:t>
      </w:r>
      <w:r w:rsidR="00862CA8" w:rsidRPr="00862CA8">
        <w:rPr>
          <w:color w:val="000000"/>
        </w:rPr>
        <w:t>31</w:t>
      </w:r>
      <w:r w:rsidR="003459CF" w:rsidRPr="00862CA8">
        <w:t xml:space="preserve"> </w:t>
      </w:r>
      <w:r w:rsidRPr="00862CA8">
        <w:t>«</w:t>
      </w:r>
      <w:r w:rsidR="00F26DC5" w:rsidRPr="00862CA8">
        <w:rPr>
          <w:bCs/>
        </w:rPr>
        <w:t>О назначении общественных обсуждений по проекту решения о предоставлении </w:t>
      </w:r>
      <w:r w:rsidR="00862CA8" w:rsidRPr="00862CA8">
        <w:rPr>
          <w:color w:val="000000"/>
          <w:shd w:val="clear" w:color="auto" w:fill="FFFFFF"/>
        </w:rPr>
        <w:t xml:space="preserve">Местной религиозной организации православный Приход храма-часовни в честь преставления святителя Митрофана, первого епископа Воронежского г. Воронежа религиозной организации «Воронежская епархия Русской православной церкви (Московский патриархат)» (ИНН 3663065880) разрешения на условно разрешенный вид использования «Осуществление религиозных обрядов» земельного участка по ул. </w:t>
      </w:r>
      <w:proofErr w:type="spellStart"/>
      <w:r w:rsidR="00862CA8" w:rsidRPr="00862CA8">
        <w:rPr>
          <w:color w:val="000000"/>
          <w:shd w:val="clear" w:color="auto" w:fill="FFFFFF"/>
        </w:rPr>
        <w:t>Арзамасская</w:t>
      </w:r>
      <w:proofErr w:type="spellEnd"/>
      <w:r w:rsidR="00862CA8" w:rsidRPr="00862CA8">
        <w:rPr>
          <w:color w:val="000000"/>
          <w:shd w:val="clear" w:color="auto" w:fill="FFFFFF"/>
        </w:rPr>
        <w:t>, 2п</w:t>
      </w:r>
      <w:proofErr w:type="gramEnd"/>
      <w:r w:rsidR="00862CA8" w:rsidRPr="00862CA8">
        <w:rPr>
          <w:color w:val="000000"/>
          <w:u w:val="single"/>
          <w:shd w:val="clear" w:color="auto" w:fill="FFFFFF"/>
        </w:rPr>
        <w:t xml:space="preserve"> (кадастровый номер 36:34:0304001:523)</w:t>
      </w:r>
      <w:r w:rsidR="00C226D9" w:rsidRPr="004D6DB6">
        <w:rPr>
          <w:bCs/>
          <w:sz w:val="26"/>
          <w:szCs w:val="26"/>
          <w:u w:val="single"/>
        </w:rPr>
        <w:t>»</w:t>
      </w:r>
      <w:r w:rsidR="004D6DB6">
        <w:rPr>
          <w:bCs/>
          <w:sz w:val="26"/>
          <w:szCs w:val="26"/>
          <w:u w:val="single"/>
        </w:rPr>
        <w:t>__________</w:t>
      </w:r>
      <w:r w:rsidR="00862CA8">
        <w:rPr>
          <w:bCs/>
          <w:sz w:val="26"/>
          <w:szCs w:val="26"/>
          <w:u w:val="single"/>
        </w:rPr>
        <w:t>____________________________</w:t>
      </w:r>
      <w:r w:rsidR="00CF5E06" w:rsidRPr="00C226D9">
        <w:rPr>
          <w:i/>
          <w:sz w:val="26"/>
          <w:szCs w:val="26"/>
        </w:rPr>
        <w:t xml:space="preserve">                 </w:t>
      </w:r>
    </w:p>
    <w:p w:rsidR="00F70FB5" w:rsidRDefault="00827FE5" w:rsidP="00862CA8">
      <w:pPr>
        <w:jc w:val="both"/>
        <w:rPr>
          <w:sz w:val="28"/>
          <w:szCs w:val="28"/>
        </w:rPr>
      </w:pPr>
      <w:r>
        <w:rPr>
          <w:i/>
        </w:rPr>
        <w:t xml:space="preserve">          </w:t>
      </w:r>
      <w:r w:rsidR="003C1A45" w:rsidRPr="009B11B6">
        <w:rPr>
          <w:i/>
        </w:rPr>
        <w:t>(основание для проведения публичных слушаний</w:t>
      </w:r>
      <w:r w:rsidR="00D94D4E">
        <w:rPr>
          <w:i/>
        </w:rPr>
        <w:t xml:space="preserve"> или общественных обсуждений</w:t>
      </w:r>
      <w:r w:rsidR="003C1A45" w:rsidRPr="009B11B6">
        <w:rPr>
          <w:i/>
        </w:rPr>
        <w:t>)</w:t>
      </w:r>
      <w:r w:rsidR="003C1A45" w:rsidRPr="001D0E0A">
        <w:rPr>
          <w:sz w:val="28"/>
          <w:szCs w:val="28"/>
        </w:rPr>
        <w:t xml:space="preserve"> </w:t>
      </w:r>
      <w:r w:rsidR="003C1A45" w:rsidRPr="001D0E0A">
        <w:rPr>
          <w:sz w:val="28"/>
          <w:szCs w:val="28"/>
        </w:rPr>
        <w:tab/>
      </w:r>
    </w:p>
    <w:p w:rsidR="00F70FB5" w:rsidRDefault="00F70FB5" w:rsidP="00862CA8">
      <w:pPr>
        <w:jc w:val="both"/>
        <w:rPr>
          <w:sz w:val="28"/>
          <w:szCs w:val="28"/>
        </w:rPr>
      </w:pPr>
    </w:p>
    <w:p w:rsidR="00F70FB5" w:rsidRDefault="0079451D" w:rsidP="00F70FB5">
      <w:pPr>
        <w:ind w:firstLine="708"/>
        <w:jc w:val="both"/>
        <w:rPr>
          <w:sz w:val="26"/>
          <w:szCs w:val="26"/>
        </w:rPr>
      </w:pPr>
      <w:r w:rsidRPr="00F70FB5">
        <w:rPr>
          <w:sz w:val="26"/>
          <w:szCs w:val="26"/>
          <w:u w:val="single"/>
        </w:rPr>
        <w:t xml:space="preserve">В общественных обсуждениях </w:t>
      </w:r>
      <w:r w:rsidR="00E77C60">
        <w:rPr>
          <w:sz w:val="26"/>
          <w:szCs w:val="26"/>
          <w:u w:val="single"/>
        </w:rPr>
        <w:t>принял участие 1 участник________________</w:t>
      </w:r>
    </w:p>
    <w:p w:rsidR="003C1A45" w:rsidRPr="00AD1A10" w:rsidRDefault="003C1A45" w:rsidP="00862CA8">
      <w:pPr>
        <w:jc w:val="both"/>
        <w:rPr>
          <w:i/>
        </w:rPr>
      </w:pPr>
      <w:r w:rsidRPr="00AD1A10">
        <w:rPr>
          <w:i/>
        </w:rPr>
        <w:t>(сведения о количестве участников публичных слушаний, которые приняли</w:t>
      </w:r>
      <w:r w:rsidR="00445E36">
        <w:rPr>
          <w:i/>
        </w:rPr>
        <w:t xml:space="preserve"> </w:t>
      </w:r>
      <w:r w:rsidRPr="00AD1A10">
        <w:rPr>
          <w:i/>
        </w:rPr>
        <w:t>участие в публичных слушаниях</w:t>
      </w:r>
      <w:r w:rsidR="00D94D4E">
        <w:rPr>
          <w:i/>
        </w:rPr>
        <w:t xml:space="preserve"> или общественных обсуждениях</w:t>
      </w:r>
      <w:r w:rsidRPr="00AD1A10">
        <w:rPr>
          <w:i/>
        </w:rPr>
        <w:t>)</w:t>
      </w:r>
    </w:p>
    <w:p w:rsidR="00E03308" w:rsidRPr="00D5503A" w:rsidRDefault="001D0E0A" w:rsidP="000D2386">
      <w:pPr>
        <w:pStyle w:val="ConsPlusNonformat"/>
        <w:pBdr>
          <w:bottom w:val="single" w:sz="6" w:space="1" w:color="auto"/>
        </w:pBdr>
        <w:jc w:val="both"/>
        <w:rPr>
          <w:rFonts w:ascii="Times New Roman" w:hAnsi="Times New Roman" w:cs="Times New Roman"/>
          <w:sz w:val="10"/>
          <w:szCs w:val="10"/>
        </w:rPr>
      </w:pPr>
      <w:r>
        <w:rPr>
          <w:rFonts w:ascii="Times New Roman" w:hAnsi="Times New Roman" w:cs="Times New Roman"/>
          <w:sz w:val="28"/>
          <w:szCs w:val="28"/>
        </w:rPr>
        <w:t xml:space="preserve"> </w:t>
      </w:r>
      <w:r>
        <w:rPr>
          <w:rFonts w:ascii="Times New Roman" w:hAnsi="Times New Roman" w:cs="Times New Roman"/>
          <w:sz w:val="28"/>
          <w:szCs w:val="28"/>
        </w:rPr>
        <w:tab/>
      </w:r>
    </w:p>
    <w:p w:rsidR="000D2386" w:rsidRPr="00862CA8" w:rsidRDefault="001D0E0A" w:rsidP="00E03308">
      <w:pPr>
        <w:pStyle w:val="ConsPlusNonformat"/>
        <w:pBdr>
          <w:bottom w:val="single" w:sz="6" w:space="1" w:color="auto"/>
        </w:pBdr>
        <w:ind w:firstLine="708"/>
        <w:jc w:val="both"/>
        <w:rPr>
          <w:rFonts w:ascii="Times New Roman" w:hAnsi="Times New Roman" w:cs="Times New Roman"/>
          <w:sz w:val="24"/>
          <w:szCs w:val="24"/>
        </w:rPr>
      </w:pPr>
      <w:r w:rsidRPr="00862CA8">
        <w:rPr>
          <w:rFonts w:ascii="Times New Roman" w:hAnsi="Times New Roman" w:cs="Times New Roman"/>
          <w:sz w:val="24"/>
          <w:szCs w:val="24"/>
        </w:rPr>
        <w:t xml:space="preserve">Протокол </w:t>
      </w:r>
      <w:r w:rsidR="00042442" w:rsidRPr="00862CA8">
        <w:rPr>
          <w:rFonts w:ascii="Times New Roman" w:hAnsi="Times New Roman" w:cs="Times New Roman"/>
          <w:sz w:val="24"/>
          <w:szCs w:val="24"/>
        </w:rPr>
        <w:t>общественных обсуждений</w:t>
      </w:r>
      <w:r w:rsidRPr="00862CA8">
        <w:rPr>
          <w:rFonts w:ascii="Times New Roman" w:hAnsi="Times New Roman" w:cs="Times New Roman"/>
          <w:sz w:val="24"/>
          <w:szCs w:val="24"/>
        </w:rPr>
        <w:t xml:space="preserve"> от </w:t>
      </w:r>
      <w:r w:rsidR="00862CA8">
        <w:rPr>
          <w:rFonts w:ascii="Times New Roman" w:hAnsi="Times New Roman" w:cs="Times New Roman"/>
          <w:sz w:val="24"/>
          <w:szCs w:val="24"/>
        </w:rPr>
        <w:t>2</w:t>
      </w:r>
      <w:r w:rsidR="00E77C60">
        <w:rPr>
          <w:rFonts w:ascii="Times New Roman" w:hAnsi="Times New Roman" w:cs="Times New Roman"/>
          <w:sz w:val="24"/>
          <w:szCs w:val="24"/>
        </w:rPr>
        <w:t>2</w:t>
      </w:r>
      <w:r w:rsidR="00215CC4" w:rsidRPr="00862CA8">
        <w:rPr>
          <w:rFonts w:ascii="Times New Roman" w:hAnsi="Times New Roman" w:cs="Times New Roman"/>
          <w:sz w:val="24"/>
          <w:szCs w:val="24"/>
        </w:rPr>
        <w:t>.</w:t>
      </w:r>
      <w:r w:rsidR="00F26DC5" w:rsidRPr="00862CA8">
        <w:rPr>
          <w:rFonts w:ascii="Times New Roman" w:hAnsi="Times New Roman" w:cs="Times New Roman"/>
          <w:sz w:val="24"/>
          <w:szCs w:val="24"/>
        </w:rPr>
        <w:t>1</w:t>
      </w:r>
      <w:r w:rsidR="00CE78F4" w:rsidRPr="00862CA8">
        <w:rPr>
          <w:rFonts w:ascii="Times New Roman" w:hAnsi="Times New Roman" w:cs="Times New Roman"/>
          <w:sz w:val="24"/>
          <w:szCs w:val="24"/>
        </w:rPr>
        <w:t>2</w:t>
      </w:r>
      <w:r w:rsidRPr="00862CA8">
        <w:rPr>
          <w:rFonts w:ascii="Times New Roman" w:hAnsi="Times New Roman" w:cs="Times New Roman"/>
          <w:sz w:val="24"/>
          <w:szCs w:val="24"/>
        </w:rPr>
        <w:t>.20</w:t>
      </w:r>
      <w:r w:rsidR="00D71F9D" w:rsidRPr="00862CA8">
        <w:rPr>
          <w:rFonts w:ascii="Times New Roman" w:hAnsi="Times New Roman" w:cs="Times New Roman"/>
          <w:sz w:val="24"/>
          <w:szCs w:val="24"/>
        </w:rPr>
        <w:t>2</w:t>
      </w:r>
      <w:r w:rsidR="00840265" w:rsidRPr="00862CA8">
        <w:rPr>
          <w:rFonts w:ascii="Times New Roman" w:hAnsi="Times New Roman" w:cs="Times New Roman"/>
          <w:sz w:val="24"/>
          <w:szCs w:val="24"/>
        </w:rPr>
        <w:t>2</w:t>
      </w:r>
      <w:r w:rsidR="000A723A" w:rsidRPr="00862CA8">
        <w:rPr>
          <w:rFonts w:ascii="Times New Roman" w:hAnsi="Times New Roman" w:cs="Times New Roman"/>
          <w:sz w:val="24"/>
          <w:szCs w:val="24"/>
        </w:rPr>
        <w:t xml:space="preserve"> г.</w:t>
      </w:r>
    </w:p>
    <w:p w:rsidR="009775FD" w:rsidRPr="00D5503A" w:rsidRDefault="003C1A45" w:rsidP="00A10028">
      <w:pPr>
        <w:pStyle w:val="ConsPlusNonformat"/>
        <w:jc w:val="center"/>
        <w:rPr>
          <w:rFonts w:ascii="Times New Roman" w:hAnsi="Times New Roman" w:cs="Times New Roman"/>
          <w:i/>
          <w:sz w:val="16"/>
          <w:szCs w:val="16"/>
        </w:rPr>
      </w:pPr>
      <w:r w:rsidRPr="00D5503A">
        <w:rPr>
          <w:rFonts w:ascii="Times New Roman" w:hAnsi="Times New Roman" w:cs="Times New Roman"/>
          <w:i/>
          <w:sz w:val="16"/>
          <w:szCs w:val="16"/>
        </w:rPr>
        <w:t>(реквизиты протокола публичных слушаний, на основании которого</w:t>
      </w:r>
      <w:r w:rsidR="00D5503A" w:rsidRPr="00D5503A">
        <w:rPr>
          <w:rFonts w:ascii="Times New Roman" w:hAnsi="Times New Roman" w:cs="Times New Roman"/>
          <w:i/>
          <w:sz w:val="16"/>
          <w:szCs w:val="16"/>
        </w:rPr>
        <w:t xml:space="preserve"> </w:t>
      </w:r>
      <w:r w:rsidRPr="00D5503A">
        <w:rPr>
          <w:rFonts w:ascii="Times New Roman" w:hAnsi="Times New Roman" w:cs="Times New Roman"/>
          <w:i/>
          <w:sz w:val="16"/>
          <w:szCs w:val="16"/>
        </w:rPr>
        <w:t>подготовлено заключение о результатах публичных слушаний</w:t>
      </w:r>
      <w:r w:rsidR="00D94D4E">
        <w:rPr>
          <w:rFonts w:ascii="Times New Roman" w:hAnsi="Times New Roman" w:cs="Times New Roman"/>
          <w:i/>
          <w:sz w:val="16"/>
          <w:szCs w:val="16"/>
        </w:rPr>
        <w:t xml:space="preserve"> или общественных обсуждениях</w:t>
      </w:r>
      <w:r w:rsidRPr="00D5503A">
        <w:rPr>
          <w:rFonts w:ascii="Times New Roman" w:hAnsi="Times New Roman" w:cs="Times New Roman"/>
          <w:i/>
          <w:sz w:val="16"/>
          <w:szCs w:val="16"/>
        </w:rPr>
        <w:t>)</w:t>
      </w:r>
    </w:p>
    <w:p w:rsidR="00D34542" w:rsidRPr="00D5503A" w:rsidRDefault="00D34542" w:rsidP="00A10028">
      <w:pPr>
        <w:pStyle w:val="ConsPlusNonformat"/>
        <w:jc w:val="center"/>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67"/>
        <w:gridCol w:w="4539"/>
      </w:tblGrid>
      <w:tr w:rsidR="002F0BD7" w:rsidRPr="00D5503A" w:rsidTr="002F0BD7">
        <w:trPr>
          <w:trHeight w:val="376"/>
          <w:tblHeader/>
        </w:trPr>
        <w:tc>
          <w:tcPr>
            <w:tcW w:w="4315" w:type="dxa"/>
            <w:tcBorders>
              <w:top w:val="single" w:sz="4" w:space="0" w:color="auto"/>
              <w:left w:val="single" w:sz="4" w:space="0" w:color="auto"/>
              <w:bottom w:val="single" w:sz="4" w:space="0" w:color="auto"/>
              <w:right w:val="single" w:sz="4" w:space="0" w:color="auto"/>
            </w:tcBorders>
            <w:hideMark/>
          </w:tcPr>
          <w:p w:rsidR="002F0BD7" w:rsidRPr="00D5503A" w:rsidRDefault="002F0BD7" w:rsidP="00E57F3C">
            <w:pPr>
              <w:pStyle w:val="ConsPlusNormal"/>
              <w:jc w:val="center"/>
              <w:rPr>
                <w:sz w:val="22"/>
                <w:szCs w:val="22"/>
              </w:rPr>
            </w:pPr>
            <w:r w:rsidRPr="00D5503A">
              <w:rPr>
                <w:rFonts w:eastAsia="Calibri"/>
                <w:sz w:val="22"/>
                <w:szCs w:val="22"/>
              </w:rPr>
              <w:t>Предложения и замечания граждан, являющихся участниками публичных слушаний или общественных обсуждений и постоянно проживающих на территории, в пределах которой проводятся публичные слушания или общественные обсуждения</w:t>
            </w:r>
          </w:p>
        </w:tc>
        <w:tc>
          <w:tcPr>
            <w:tcW w:w="567" w:type="dxa"/>
            <w:tcBorders>
              <w:top w:val="single" w:sz="4" w:space="0" w:color="auto"/>
              <w:left w:val="single" w:sz="4" w:space="0" w:color="auto"/>
              <w:bottom w:val="single" w:sz="4" w:space="0" w:color="auto"/>
              <w:right w:val="single" w:sz="4" w:space="0" w:color="auto"/>
            </w:tcBorders>
            <w:hideMark/>
          </w:tcPr>
          <w:p w:rsidR="002F0BD7" w:rsidRPr="00D5503A" w:rsidRDefault="002F0BD7" w:rsidP="00E57F3C">
            <w:pPr>
              <w:pStyle w:val="ConsPlusNormal"/>
              <w:jc w:val="center"/>
              <w:rPr>
                <w:sz w:val="22"/>
                <w:szCs w:val="22"/>
              </w:rPr>
            </w:pPr>
            <w:r w:rsidRPr="00D5503A">
              <w:rPr>
                <w:sz w:val="22"/>
                <w:szCs w:val="22"/>
              </w:rPr>
              <w:t>Кол-во</w:t>
            </w:r>
          </w:p>
        </w:tc>
        <w:tc>
          <w:tcPr>
            <w:tcW w:w="4539" w:type="dxa"/>
            <w:tcBorders>
              <w:top w:val="single" w:sz="4" w:space="0" w:color="auto"/>
              <w:left w:val="single" w:sz="4" w:space="0" w:color="auto"/>
              <w:bottom w:val="single" w:sz="4" w:space="0" w:color="auto"/>
              <w:right w:val="single" w:sz="4" w:space="0" w:color="auto"/>
            </w:tcBorders>
            <w:hideMark/>
          </w:tcPr>
          <w:p w:rsidR="002F0BD7" w:rsidRPr="00D5503A" w:rsidRDefault="002F0BD7" w:rsidP="00E57F3C">
            <w:pPr>
              <w:pStyle w:val="ConsPlusNormal"/>
              <w:jc w:val="center"/>
              <w:rPr>
                <w:sz w:val="22"/>
                <w:szCs w:val="22"/>
              </w:rPr>
            </w:pPr>
            <w:r w:rsidRPr="00D5503A">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2F0BD7" w:rsidRPr="00D5503A" w:rsidTr="00AC29DC">
        <w:trPr>
          <w:trHeight w:val="347"/>
        </w:trPr>
        <w:tc>
          <w:tcPr>
            <w:tcW w:w="4315" w:type="dxa"/>
            <w:tcBorders>
              <w:top w:val="single" w:sz="4" w:space="0" w:color="auto"/>
              <w:left w:val="single" w:sz="4" w:space="0" w:color="auto"/>
              <w:bottom w:val="single" w:sz="4" w:space="0" w:color="auto"/>
              <w:right w:val="single" w:sz="4" w:space="0" w:color="auto"/>
            </w:tcBorders>
          </w:tcPr>
          <w:p w:rsidR="004A1EEE" w:rsidRPr="00D5503A" w:rsidRDefault="00E77C60" w:rsidP="004D6DB6">
            <w:pPr>
              <w:pStyle w:val="ConsPlusNormal"/>
              <w:ind w:left="142"/>
              <w:jc w:val="center"/>
              <w:rPr>
                <w:sz w:val="22"/>
                <w:szCs w:val="22"/>
              </w:rPr>
            </w:pPr>
            <w:r>
              <w:rPr>
                <w:sz w:val="22"/>
                <w:szCs w:val="22"/>
              </w:rPr>
              <w:t>Поддержать проект</w:t>
            </w:r>
          </w:p>
        </w:tc>
        <w:tc>
          <w:tcPr>
            <w:tcW w:w="567" w:type="dxa"/>
            <w:tcBorders>
              <w:top w:val="single" w:sz="4" w:space="0" w:color="auto"/>
              <w:left w:val="single" w:sz="4" w:space="0" w:color="auto"/>
              <w:bottom w:val="single" w:sz="4" w:space="0" w:color="auto"/>
              <w:right w:val="single" w:sz="4" w:space="0" w:color="auto"/>
            </w:tcBorders>
          </w:tcPr>
          <w:p w:rsidR="002F0BD7" w:rsidRPr="00D5503A" w:rsidRDefault="00E77C60" w:rsidP="004D6DB6">
            <w:pPr>
              <w:pStyle w:val="ConsPlusNormal"/>
              <w:jc w:val="center"/>
              <w:rPr>
                <w:sz w:val="22"/>
                <w:szCs w:val="22"/>
              </w:rPr>
            </w:pPr>
            <w:r>
              <w:rPr>
                <w:sz w:val="22"/>
                <w:szCs w:val="22"/>
              </w:rPr>
              <w:t>1</w:t>
            </w:r>
          </w:p>
        </w:tc>
        <w:tc>
          <w:tcPr>
            <w:tcW w:w="4539" w:type="dxa"/>
            <w:tcBorders>
              <w:top w:val="single" w:sz="4" w:space="0" w:color="auto"/>
              <w:left w:val="single" w:sz="4" w:space="0" w:color="auto"/>
              <w:bottom w:val="single" w:sz="4" w:space="0" w:color="auto"/>
              <w:right w:val="single" w:sz="4" w:space="0" w:color="auto"/>
            </w:tcBorders>
          </w:tcPr>
          <w:p w:rsidR="00175197" w:rsidRPr="00D5503A" w:rsidRDefault="00E77C60" w:rsidP="00330250">
            <w:pPr>
              <w:pStyle w:val="ConsPlusNormal"/>
              <w:jc w:val="center"/>
              <w:rPr>
                <w:sz w:val="22"/>
                <w:szCs w:val="22"/>
              </w:rPr>
            </w:pPr>
            <w:r w:rsidRPr="00B70FEA">
              <w:rPr>
                <w:szCs w:val="24"/>
              </w:rPr>
              <w:t>Целесообразно к учету</w:t>
            </w:r>
            <w:r w:rsidR="00330250">
              <w:rPr>
                <w:szCs w:val="24"/>
              </w:rPr>
              <w:t xml:space="preserve">, проект подготовлен в </w:t>
            </w:r>
            <w:r w:rsidRPr="00B70FEA">
              <w:rPr>
                <w:szCs w:val="24"/>
              </w:rPr>
              <w:t>соответствие с</w:t>
            </w:r>
            <w:r w:rsidR="00330250">
              <w:rPr>
                <w:szCs w:val="24"/>
              </w:rPr>
              <w:t>о ст. 39 Градостроительного кодекса РФ</w:t>
            </w:r>
            <w:r w:rsidRPr="00B70FEA">
              <w:rPr>
                <w:szCs w:val="24"/>
              </w:rPr>
              <w:t xml:space="preserve"> </w:t>
            </w:r>
          </w:p>
        </w:tc>
      </w:tr>
      <w:tr w:rsidR="002F0BD7" w:rsidRPr="00D5503A" w:rsidTr="002F0BD7">
        <w:trPr>
          <w:trHeight w:val="565"/>
        </w:trPr>
        <w:tc>
          <w:tcPr>
            <w:tcW w:w="4315" w:type="dxa"/>
            <w:tcBorders>
              <w:top w:val="single" w:sz="4" w:space="0" w:color="auto"/>
              <w:left w:val="single" w:sz="4" w:space="0" w:color="auto"/>
              <w:bottom w:val="single" w:sz="4" w:space="0" w:color="auto"/>
              <w:right w:val="single" w:sz="4" w:space="0" w:color="auto"/>
            </w:tcBorders>
          </w:tcPr>
          <w:p w:rsidR="002F0BD7" w:rsidRDefault="002F0BD7" w:rsidP="004D6DB6">
            <w:pPr>
              <w:pStyle w:val="ConsPlusNormal"/>
              <w:jc w:val="center"/>
              <w:rPr>
                <w:rFonts w:eastAsia="Calibri"/>
                <w:sz w:val="22"/>
                <w:szCs w:val="22"/>
              </w:rPr>
            </w:pPr>
            <w:r w:rsidRPr="00D5503A">
              <w:rPr>
                <w:rFonts w:eastAsia="Calibri"/>
                <w:sz w:val="22"/>
                <w:szCs w:val="22"/>
              </w:rPr>
              <w:t>Предложения и замечания от иных участников публичных слушаний или общественных обсуждений</w:t>
            </w:r>
          </w:p>
          <w:p w:rsidR="00BC050D" w:rsidRPr="00D5503A" w:rsidRDefault="00BC050D" w:rsidP="004D6DB6">
            <w:pPr>
              <w:pStyle w:val="ConsPlusNormal"/>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2F0BD7" w:rsidRPr="00D5503A" w:rsidRDefault="002F0BD7" w:rsidP="004D6DB6">
            <w:pPr>
              <w:pStyle w:val="ConsPlusNormal"/>
              <w:jc w:val="center"/>
              <w:rPr>
                <w:sz w:val="22"/>
                <w:szCs w:val="22"/>
              </w:rPr>
            </w:pPr>
            <w:r w:rsidRPr="00D5503A">
              <w:rPr>
                <w:sz w:val="22"/>
                <w:szCs w:val="22"/>
              </w:rPr>
              <w:t>Кол-во</w:t>
            </w:r>
          </w:p>
        </w:tc>
        <w:tc>
          <w:tcPr>
            <w:tcW w:w="4539" w:type="dxa"/>
            <w:tcBorders>
              <w:top w:val="single" w:sz="4" w:space="0" w:color="auto"/>
              <w:left w:val="single" w:sz="4" w:space="0" w:color="auto"/>
              <w:bottom w:val="single" w:sz="4" w:space="0" w:color="auto"/>
              <w:right w:val="single" w:sz="4" w:space="0" w:color="auto"/>
            </w:tcBorders>
          </w:tcPr>
          <w:p w:rsidR="002F0BD7" w:rsidRPr="00D5503A" w:rsidRDefault="002F0BD7" w:rsidP="004D6DB6">
            <w:pPr>
              <w:pStyle w:val="ConsPlusNormal"/>
              <w:jc w:val="center"/>
              <w:rPr>
                <w:sz w:val="22"/>
                <w:szCs w:val="22"/>
              </w:rPr>
            </w:pPr>
            <w:r w:rsidRPr="00D5503A">
              <w:rPr>
                <w:rFonts w:eastAsia="Calibri"/>
                <w:sz w:val="22"/>
                <w:szCs w:val="22"/>
              </w:rPr>
              <w:t>Рекомендации организатора публичных слушаний или общественных обсуждений о целесообразности/нецелесообразности учета внесенных участниками публичных слушаний или общественных обсуждений предложений и замечаний</w:t>
            </w:r>
          </w:p>
        </w:tc>
      </w:tr>
      <w:tr w:rsidR="002F0BD7" w:rsidRPr="00D5503A" w:rsidTr="00AC29DC">
        <w:trPr>
          <w:trHeight w:val="412"/>
        </w:trPr>
        <w:tc>
          <w:tcPr>
            <w:tcW w:w="4315" w:type="dxa"/>
            <w:tcBorders>
              <w:top w:val="single" w:sz="4" w:space="0" w:color="auto"/>
              <w:left w:val="single" w:sz="4" w:space="0" w:color="auto"/>
              <w:bottom w:val="single" w:sz="4" w:space="0" w:color="auto"/>
              <w:right w:val="single" w:sz="4" w:space="0" w:color="auto"/>
            </w:tcBorders>
          </w:tcPr>
          <w:p w:rsidR="00BD5AE9" w:rsidRPr="00D5503A" w:rsidRDefault="004D6DB6" w:rsidP="004D6DB6">
            <w:pPr>
              <w:pStyle w:val="ConsPlusNormal"/>
              <w:ind w:left="502"/>
              <w:jc w:val="center"/>
              <w:rPr>
                <w:sz w:val="22"/>
                <w:szCs w:val="22"/>
              </w:rPr>
            </w:pPr>
            <w:r>
              <w:rPr>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BD5AE9" w:rsidRPr="00D5503A" w:rsidRDefault="004D6DB6" w:rsidP="004D6DB6">
            <w:pPr>
              <w:pStyle w:val="ConsPlusNormal"/>
              <w:jc w:val="center"/>
              <w:rPr>
                <w:sz w:val="22"/>
                <w:szCs w:val="22"/>
              </w:rPr>
            </w:pPr>
            <w:r>
              <w:rPr>
                <w:sz w:val="22"/>
                <w:szCs w:val="22"/>
              </w:rPr>
              <w:t>-</w:t>
            </w:r>
          </w:p>
        </w:tc>
        <w:tc>
          <w:tcPr>
            <w:tcW w:w="4539" w:type="dxa"/>
            <w:tcBorders>
              <w:top w:val="single" w:sz="4" w:space="0" w:color="auto"/>
              <w:left w:val="single" w:sz="4" w:space="0" w:color="auto"/>
              <w:bottom w:val="single" w:sz="4" w:space="0" w:color="auto"/>
              <w:right w:val="single" w:sz="4" w:space="0" w:color="auto"/>
            </w:tcBorders>
          </w:tcPr>
          <w:p w:rsidR="00DD265F" w:rsidRPr="00D5503A" w:rsidRDefault="004D6DB6" w:rsidP="004D6DB6">
            <w:pPr>
              <w:pStyle w:val="ConsPlusNormal"/>
              <w:jc w:val="center"/>
              <w:rPr>
                <w:sz w:val="22"/>
                <w:szCs w:val="22"/>
              </w:rPr>
            </w:pPr>
            <w:r>
              <w:rPr>
                <w:sz w:val="22"/>
                <w:szCs w:val="22"/>
              </w:rPr>
              <w:t>-</w:t>
            </w:r>
          </w:p>
        </w:tc>
      </w:tr>
    </w:tbl>
    <w:p w:rsidR="00B54043" w:rsidRDefault="00F349E9" w:rsidP="000343C5">
      <w:pPr>
        <w:jc w:val="both"/>
        <w:rPr>
          <w:sz w:val="25"/>
          <w:szCs w:val="25"/>
        </w:rPr>
      </w:pPr>
      <w:r w:rsidRPr="00A57B6B">
        <w:rPr>
          <w:sz w:val="26"/>
          <w:szCs w:val="26"/>
        </w:rPr>
        <w:t>Признать общественные обсуждения состоявшимися.</w:t>
      </w:r>
    </w:p>
    <w:p w:rsidR="00330250" w:rsidRDefault="00330250" w:rsidP="00BA769E">
      <w:pPr>
        <w:jc w:val="both"/>
        <w:rPr>
          <w:sz w:val="22"/>
          <w:szCs w:val="22"/>
        </w:rPr>
      </w:pPr>
    </w:p>
    <w:p w:rsidR="00CE78F4" w:rsidRPr="00BA769E" w:rsidRDefault="00CE78F4" w:rsidP="00BA769E">
      <w:pPr>
        <w:jc w:val="both"/>
        <w:rPr>
          <w:sz w:val="22"/>
          <w:szCs w:val="22"/>
        </w:rPr>
      </w:pPr>
      <w:bookmarkStart w:id="0" w:name="_GoBack"/>
      <w:bookmarkEnd w:id="0"/>
      <w:r w:rsidRPr="00BA769E">
        <w:rPr>
          <w:sz w:val="22"/>
          <w:szCs w:val="22"/>
        </w:rPr>
        <w:t xml:space="preserve">Председатель комиссии </w:t>
      </w:r>
    </w:p>
    <w:p w:rsidR="00CE78F4" w:rsidRPr="00BA769E" w:rsidRDefault="00CE78F4" w:rsidP="00BA769E">
      <w:pPr>
        <w:jc w:val="both"/>
        <w:rPr>
          <w:sz w:val="22"/>
          <w:szCs w:val="22"/>
        </w:rPr>
      </w:pPr>
      <w:r w:rsidRPr="00BA769E">
        <w:rPr>
          <w:sz w:val="22"/>
          <w:szCs w:val="22"/>
        </w:rPr>
        <w:t xml:space="preserve">по землепользованию и застройке </w:t>
      </w:r>
    </w:p>
    <w:p w:rsidR="00CE78F4" w:rsidRDefault="00CE78F4" w:rsidP="00BA769E">
      <w:pPr>
        <w:jc w:val="both"/>
        <w:rPr>
          <w:sz w:val="22"/>
          <w:szCs w:val="22"/>
        </w:rPr>
      </w:pPr>
      <w:r w:rsidRPr="00BA769E">
        <w:rPr>
          <w:sz w:val="22"/>
          <w:szCs w:val="22"/>
        </w:rPr>
        <w:t xml:space="preserve">городского округа город Воронеж                                              </w:t>
      </w:r>
      <w:r w:rsidR="00BA769E">
        <w:rPr>
          <w:sz w:val="22"/>
          <w:szCs w:val="22"/>
        </w:rPr>
        <w:t xml:space="preserve">                              </w:t>
      </w:r>
      <w:r w:rsidRPr="00BA769E">
        <w:rPr>
          <w:sz w:val="22"/>
          <w:szCs w:val="22"/>
        </w:rPr>
        <w:t xml:space="preserve">А.В. </w:t>
      </w:r>
      <w:proofErr w:type="spellStart"/>
      <w:r w:rsidRPr="00BA769E">
        <w:rPr>
          <w:sz w:val="22"/>
          <w:szCs w:val="22"/>
        </w:rPr>
        <w:t>Головацкий</w:t>
      </w:r>
      <w:proofErr w:type="spellEnd"/>
    </w:p>
    <w:p w:rsidR="00030B98" w:rsidRDefault="00030B98" w:rsidP="00BA769E">
      <w:pPr>
        <w:jc w:val="both"/>
        <w:rPr>
          <w:sz w:val="22"/>
          <w:szCs w:val="22"/>
        </w:rPr>
      </w:pPr>
    </w:p>
    <w:p w:rsidR="000343C5" w:rsidRPr="00BA769E" w:rsidRDefault="000343C5" w:rsidP="00BA769E">
      <w:pPr>
        <w:contextualSpacing/>
        <w:jc w:val="both"/>
        <w:rPr>
          <w:sz w:val="22"/>
          <w:szCs w:val="22"/>
        </w:rPr>
      </w:pPr>
      <w:r w:rsidRPr="00BA769E">
        <w:rPr>
          <w:sz w:val="22"/>
          <w:szCs w:val="22"/>
        </w:rPr>
        <w:t xml:space="preserve">Заместитель председателя комиссии </w:t>
      </w:r>
    </w:p>
    <w:p w:rsidR="000343C5" w:rsidRPr="00BA769E" w:rsidRDefault="000343C5" w:rsidP="00BA769E">
      <w:pPr>
        <w:contextualSpacing/>
        <w:jc w:val="both"/>
        <w:rPr>
          <w:sz w:val="22"/>
          <w:szCs w:val="22"/>
        </w:rPr>
      </w:pPr>
      <w:r w:rsidRPr="00BA769E">
        <w:rPr>
          <w:sz w:val="22"/>
          <w:szCs w:val="22"/>
        </w:rPr>
        <w:t xml:space="preserve">по землепользованию и застройке </w:t>
      </w:r>
    </w:p>
    <w:p w:rsidR="00BF5497" w:rsidRPr="00BA769E" w:rsidRDefault="000343C5" w:rsidP="00BA769E">
      <w:pPr>
        <w:contextualSpacing/>
        <w:jc w:val="both"/>
        <w:rPr>
          <w:sz w:val="22"/>
          <w:szCs w:val="22"/>
        </w:rPr>
      </w:pPr>
      <w:r w:rsidRPr="00BA769E">
        <w:rPr>
          <w:sz w:val="22"/>
          <w:szCs w:val="22"/>
        </w:rPr>
        <w:t xml:space="preserve">городского округа город Воронеж                                                             </w:t>
      </w:r>
      <w:r w:rsidR="00BA769E">
        <w:rPr>
          <w:sz w:val="22"/>
          <w:szCs w:val="22"/>
        </w:rPr>
        <w:t xml:space="preserve">                </w:t>
      </w:r>
      <w:r w:rsidRPr="00BA769E">
        <w:rPr>
          <w:sz w:val="22"/>
          <w:szCs w:val="22"/>
        </w:rPr>
        <w:t>Я.А. Агаркова</w:t>
      </w:r>
    </w:p>
    <w:p w:rsidR="0062425E" w:rsidRPr="00BA769E" w:rsidRDefault="0062425E" w:rsidP="00BA769E">
      <w:pPr>
        <w:contextualSpacing/>
        <w:jc w:val="both"/>
        <w:rPr>
          <w:sz w:val="22"/>
          <w:szCs w:val="22"/>
        </w:rPr>
      </w:pPr>
    </w:p>
    <w:p w:rsidR="00BF5497" w:rsidRPr="00BA769E" w:rsidRDefault="00BF5497" w:rsidP="00BA769E">
      <w:pPr>
        <w:contextualSpacing/>
        <w:jc w:val="both"/>
        <w:rPr>
          <w:sz w:val="22"/>
          <w:szCs w:val="22"/>
        </w:rPr>
      </w:pPr>
      <w:r w:rsidRPr="00BA769E">
        <w:rPr>
          <w:sz w:val="22"/>
          <w:szCs w:val="22"/>
        </w:rPr>
        <w:lastRenderedPageBreak/>
        <w:t xml:space="preserve">Секретарь комиссии </w:t>
      </w:r>
    </w:p>
    <w:p w:rsidR="00BF5497" w:rsidRPr="00BA769E" w:rsidRDefault="00BF5497" w:rsidP="00D5503A">
      <w:pPr>
        <w:contextualSpacing/>
        <w:jc w:val="both"/>
        <w:rPr>
          <w:sz w:val="22"/>
          <w:szCs w:val="22"/>
        </w:rPr>
      </w:pPr>
      <w:r w:rsidRPr="00BA769E">
        <w:rPr>
          <w:sz w:val="22"/>
          <w:szCs w:val="22"/>
        </w:rPr>
        <w:t xml:space="preserve">по землепользованию и застройке </w:t>
      </w:r>
    </w:p>
    <w:p w:rsidR="00F349E9" w:rsidRPr="00BA769E" w:rsidRDefault="00BF5497" w:rsidP="00D5503A">
      <w:pPr>
        <w:contextualSpacing/>
        <w:jc w:val="both"/>
        <w:rPr>
          <w:sz w:val="22"/>
          <w:szCs w:val="22"/>
        </w:rPr>
      </w:pPr>
      <w:r w:rsidRPr="00BA769E">
        <w:rPr>
          <w:sz w:val="22"/>
          <w:szCs w:val="22"/>
        </w:rPr>
        <w:t xml:space="preserve">городского округа город Воронеж                                                </w:t>
      </w:r>
      <w:r w:rsidR="002F0BD7" w:rsidRPr="00BA769E">
        <w:rPr>
          <w:sz w:val="22"/>
          <w:szCs w:val="22"/>
        </w:rPr>
        <w:t xml:space="preserve">              </w:t>
      </w:r>
      <w:r w:rsidRPr="00BA769E">
        <w:rPr>
          <w:sz w:val="22"/>
          <w:szCs w:val="22"/>
        </w:rPr>
        <w:t xml:space="preserve"> </w:t>
      </w:r>
      <w:r w:rsidR="00BA769E">
        <w:rPr>
          <w:sz w:val="22"/>
          <w:szCs w:val="22"/>
        </w:rPr>
        <w:t xml:space="preserve">                </w:t>
      </w:r>
      <w:r w:rsidRPr="00BA769E">
        <w:rPr>
          <w:sz w:val="22"/>
          <w:szCs w:val="22"/>
        </w:rPr>
        <w:t xml:space="preserve"> С.Н. Фатеев</w:t>
      </w:r>
    </w:p>
    <w:p w:rsidR="00862CA8" w:rsidRPr="00BA769E" w:rsidRDefault="00862CA8">
      <w:pPr>
        <w:contextualSpacing/>
        <w:jc w:val="both"/>
        <w:rPr>
          <w:sz w:val="22"/>
          <w:szCs w:val="22"/>
        </w:rPr>
      </w:pPr>
    </w:p>
    <w:sectPr w:rsidR="00862CA8" w:rsidRPr="00BA769E" w:rsidSect="00862CA8">
      <w:headerReference w:type="default" r:id="rId8"/>
      <w:pgSz w:w="11906" w:h="16838"/>
      <w:pgMar w:top="284" w:right="850" w:bottom="14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68" w:rsidRDefault="003D1D68" w:rsidP="00067BAF">
      <w:r>
        <w:separator/>
      </w:r>
    </w:p>
  </w:endnote>
  <w:endnote w:type="continuationSeparator" w:id="0">
    <w:p w:rsidR="003D1D68" w:rsidRDefault="003D1D68" w:rsidP="000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68" w:rsidRDefault="003D1D68" w:rsidP="00067BAF">
      <w:r>
        <w:separator/>
      </w:r>
    </w:p>
  </w:footnote>
  <w:footnote w:type="continuationSeparator" w:id="0">
    <w:p w:rsidR="003D1D68" w:rsidRDefault="003D1D68" w:rsidP="00067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2032"/>
      <w:docPartObj>
        <w:docPartGallery w:val="Page Numbers (Top of Page)"/>
        <w:docPartUnique/>
      </w:docPartObj>
    </w:sdtPr>
    <w:sdtEndPr/>
    <w:sdtContent>
      <w:p w:rsidR="00621EDB" w:rsidRDefault="009D2D79">
        <w:pPr>
          <w:pStyle w:val="a8"/>
          <w:jc w:val="center"/>
        </w:pPr>
        <w:r>
          <w:fldChar w:fldCharType="begin"/>
        </w:r>
        <w:r>
          <w:instrText xml:space="preserve"> PAGE   \* MERGEFORMAT </w:instrText>
        </w:r>
        <w:r>
          <w:fldChar w:fldCharType="separate"/>
        </w:r>
        <w:r w:rsidR="00330250">
          <w:rPr>
            <w:noProof/>
          </w:rPr>
          <w:t>2</w:t>
        </w:r>
        <w:r>
          <w:rPr>
            <w:noProof/>
          </w:rPr>
          <w:fldChar w:fldCharType="end"/>
        </w:r>
      </w:p>
    </w:sdtContent>
  </w:sdt>
  <w:p w:rsidR="00067BAF" w:rsidRDefault="00067BA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3F"/>
    <w:multiLevelType w:val="hybridMultilevel"/>
    <w:tmpl w:val="9CDC1AC4"/>
    <w:lvl w:ilvl="0" w:tplc="5D9E065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7D75A01"/>
    <w:multiLevelType w:val="hybridMultilevel"/>
    <w:tmpl w:val="49F4A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45785A"/>
    <w:multiLevelType w:val="hybridMultilevel"/>
    <w:tmpl w:val="49CA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125A7"/>
    <w:multiLevelType w:val="hybridMultilevel"/>
    <w:tmpl w:val="24845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CD7125"/>
    <w:multiLevelType w:val="hybridMultilevel"/>
    <w:tmpl w:val="9A588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45"/>
    <w:rsid w:val="00015827"/>
    <w:rsid w:val="000243B4"/>
    <w:rsid w:val="00026A1E"/>
    <w:rsid w:val="00030B98"/>
    <w:rsid w:val="000327E9"/>
    <w:rsid w:val="000343C5"/>
    <w:rsid w:val="00042442"/>
    <w:rsid w:val="000433DB"/>
    <w:rsid w:val="00052682"/>
    <w:rsid w:val="00064213"/>
    <w:rsid w:val="000662AC"/>
    <w:rsid w:val="00067BAF"/>
    <w:rsid w:val="00070856"/>
    <w:rsid w:val="0007283D"/>
    <w:rsid w:val="00073CC7"/>
    <w:rsid w:val="000749F9"/>
    <w:rsid w:val="00087B81"/>
    <w:rsid w:val="000930C5"/>
    <w:rsid w:val="00093E0B"/>
    <w:rsid w:val="00095A39"/>
    <w:rsid w:val="00095F53"/>
    <w:rsid w:val="000A6528"/>
    <w:rsid w:val="000A723A"/>
    <w:rsid w:val="000B0065"/>
    <w:rsid w:val="000B6EF5"/>
    <w:rsid w:val="000C5772"/>
    <w:rsid w:val="000D2386"/>
    <w:rsid w:val="000D33B6"/>
    <w:rsid w:val="000E0F95"/>
    <w:rsid w:val="000F5C29"/>
    <w:rsid w:val="00100EDF"/>
    <w:rsid w:val="00103256"/>
    <w:rsid w:val="00111A41"/>
    <w:rsid w:val="00116A22"/>
    <w:rsid w:val="00121AB6"/>
    <w:rsid w:val="0012685E"/>
    <w:rsid w:val="00131B7B"/>
    <w:rsid w:val="001515AD"/>
    <w:rsid w:val="00164822"/>
    <w:rsid w:val="00173A6F"/>
    <w:rsid w:val="00175197"/>
    <w:rsid w:val="00182EE7"/>
    <w:rsid w:val="00193EDA"/>
    <w:rsid w:val="001A01E3"/>
    <w:rsid w:val="001B160A"/>
    <w:rsid w:val="001C43DD"/>
    <w:rsid w:val="001D0E0A"/>
    <w:rsid w:val="002050D7"/>
    <w:rsid w:val="00205638"/>
    <w:rsid w:val="0021415C"/>
    <w:rsid w:val="00215CC4"/>
    <w:rsid w:val="00222D69"/>
    <w:rsid w:val="002269FC"/>
    <w:rsid w:val="00235946"/>
    <w:rsid w:val="002444F7"/>
    <w:rsid w:val="00250C6B"/>
    <w:rsid w:val="002659C1"/>
    <w:rsid w:val="00266F36"/>
    <w:rsid w:val="0027785C"/>
    <w:rsid w:val="0029232F"/>
    <w:rsid w:val="00293E24"/>
    <w:rsid w:val="00294FD3"/>
    <w:rsid w:val="002A550A"/>
    <w:rsid w:val="002A696A"/>
    <w:rsid w:val="002B0F28"/>
    <w:rsid w:val="002B1E6F"/>
    <w:rsid w:val="002B7F7B"/>
    <w:rsid w:val="002E07D1"/>
    <w:rsid w:val="002F0070"/>
    <w:rsid w:val="002F0BD7"/>
    <w:rsid w:val="003143C7"/>
    <w:rsid w:val="0031733D"/>
    <w:rsid w:val="00322B91"/>
    <w:rsid w:val="00330250"/>
    <w:rsid w:val="00330A37"/>
    <w:rsid w:val="003330DA"/>
    <w:rsid w:val="003356C5"/>
    <w:rsid w:val="00335D1F"/>
    <w:rsid w:val="00335F9A"/>
    <w:rsid w:val="00340574"/>
    <w:rsid w:val="003459CF"/>
    <w:rsid w:val="003572AB"/>
    <w:rsid w:val="00364095"/>
    <w:rsid w:val="00373665"/>
    <w:rsid w:val="00380CA0"/>
    <w:rsid w:val="00386AB0"/>
    <w:rsid w:val="00397096"/>
    <w:rsid w:val="003B6912"/>
    <w:rsid w:val="003C09CD"/>
    <w:rsid w:val="003C1A45"/>
    <w:rsid w:val="003D1D68"/>
    <w:rsid w:val="003D27A6"/>
    <w:rsid w:val="003D3110"/>
    <w:rsid w:val="003D6128"/>
    <w:rsid w:val="003D7425"/>
    <w:rsid w:val="003E2C3F"/>
    <w:rsid w:val="003E4C5A"/>
    <w:rsid w:val="003E7896"/>
    <w:rsid w:val="003E79E9"/>
    <w:rsid w:val="003F01B2"/>
    <w:rsid w:val="003F3BAB"/>
    <w:rsid w:val="00403E8D"/>
    <w:rsid w:val="00404A16"/>
    <w:rsid w:val="00425406"/>
    <w:rsid w:val="00425B78"/>
    <w:rsid w:val="00430A81"/>
    <w:rsid w:val="00433626"/>
    <w:rsid w:val="00443F47"/>
    <w:rsid w:val="00445E36"/>
    <w:rsid w:val="00463E9E"/>
    <w:rsid w:val="00464055"/>
    <w:rsid w:val="004727DD"/>
    <w:rsid w:val="00484059"/>
    <w:rsid w:val="004A1405"/>
    <w:rsid w:val="004A1EEE"/>
    <w:rsid w:val="004B4EC3"/>
    <w:rsid w:val="004B5BD8"/>
    <w:rsid w:val="004D0D4B"/>
    <w:rsid w:val="004D116F"/>
    <w:rsid w:val="004D6DB6"/>
    <w:rsid w:val="004F3184"/>
    <w:rsid w:val="004F522E"/>
    <w:rsid w:val="004F5E3B"/>
    <w:rsid w:val="0052587D"/>
    <w:rsid w:val="005318E1"/>
    <w:rsid w:val="00554C28"/>
    <w:rsid w:val="00561F84"/>
    <w:rsid w:val="00562D62"/>
    <w:rsid w:val="00570270"/>
    <w:rsid w:val="005769A0"/>
    <w:rsid w:val="005815E6"/>
    <w:rsid w:val="005843DF"/>
    <w:rsid w:val="00592844"/>
    <w:rsid w:val="00593FD9"/>
    <w:rsid w:val="0059504A"/>
    <w:rsid w:val="005A2F63"/>
    <w:rsid w:val="005C09AA"/>
    <w:rsid w:val="005C7D41"/>
    <w:rsid w:val="005D15B2"/>
    <w:rsid w:val="005D527D"/>
    <w:rsid w:val="005E5D6B"/>
    <w:rsid w:val="005F76D1"/>
    <w:rsid w:val="006022B1"/>
    <w:rsid w:val="006059AE"/>
    <w:rsid w:val="0060785A"/>
    <w:rsid w:val="006209D6"/>
    <w:rsid w:val="00621EDB"/>
    <w:rsid w:val="00623824"/>
    <w:rsid w:val="0062425E"/>
    <w:rsid w:val="0062750B"/>
    <w:rsid w:val="00630446"/>
    <w:rsid w:val="00630BF5"/>
    <w:rsid w:val="00642AC8"/>
    <w:rsid w:val="00644774"/>
    <w:rsid w:val="00652841"/>
    <w:rsid w:val="00663C42"/>
    <w:rsid w:val="00671C15"/>
    <w:rsid w:val="0068048C"/>
    <w:rsid w:val="00680C19"/>
    <w:rsid w:val="00683632"/>
    <w:rsid w:val="006C0D3D"/>
    <w:rsid w:val="006D29A2"/>
    <w:rsid w:val="006D73E4"/>
    <w:rsid w:val="006E4CC4"/>
    <w:rsid w:val="006E5155"/>
    <w:rsid w:val="006E517D"/>
    <w:rsid w:val="006F48A7"/>
    <w:rsid w:val="006F4DEE"/>
    <w:rsid w:val="006F6D2F"/>
    <w:rsid w:val="00702A72"/>
    <w:rsid w:val="00706D6E"/>
    <w:rsid w:val="007128F8"/>
    <w:rsid w:val="007356A6"/>
    <w:rsid w:val="00744668"/>
    <w:rsid w:val="007524E9"/>
    <w:rsid w:val="00755334"/>
    <w:rsid w:val="00761FBE"/>
    <w:rsid w:val="0076376F"/>
    <w:rsid w:val="00767064"/>
    <w:rsid w:val="0077019E"/>
    <w:rsid w:val="00772918"/>
    <w:rsid w:val="00790765"/>
    <w:rsid w:val="0079428F"/>
    <w:rsid w:val="0079451D"/>
    <w:rsid w:val="00797739"/>
    <w:rsid w:val="007B489F"/>
    <w:rsid w:val="007B7C13"/>
    <w:rsid w:val="007E523E"/>
    <w:rsid w:val="007F1495"/>
    <w:rsid w:val="007F3819"/>
    <w:rsid w:val="007F570A"/>
    <w:rsid w:val="00801BD8"/>
    <w:rsid w:val="00814914"/>
    <w:rsid w:val="00824F5E"/>
    <w:rsid w:val="00827F08"/>
    <w:rsid w:val="00827FE5"/>
    <w:rsid w:val="00831941"/>
    <w:rsid w:val="00840265"/>
    <w:rsid w:val="00840ED6"/>
    <w:rsid w:val="00862CA8"/>
    <w:rsid w:val="00866A4C"/>
    <w:rsid w:val="0086788B"/>
    <w:rsid w:val="00880BE1"/>
    <w:rsid w:val="008934CD"/>
    <w:rsid w:val="00894267"/>
    <w:rsid w:val="0089536E"/>
    <w:rsid w:val="008D0ABE"/>
    <w:rsid w:val="008D36C6"/>
    <w:rsid w:val="008E034D"/>
    <w:rsid w:val="008E458C"/>
    <w:rsid w:val="008E782D"/>
    <w:rsid w:val="008F205D"/>
    <w:rsid w:val="00900023"/>
    <w:rsid w:val="0090552E"/>
    <w:rsid w:val="009055E9"/>
    <w:rsid w:val="00911A9F"/>
    <w:rsid w:val="00912A4F"/>
    <w:rsid w:val="00917A90"/>
    <w:rsid w:val="009206D8"/>
    <w:rsid w:val="009313CA"/>
    <w:rsid w:val="00932F25"/>
    <w:rsid w:val="009431B6"/>
    <w:rsid w:val="00951D2C"/>
    <w:rsid w:val="00964C74"/>
    <w:rsid w:val="0097116F"/>
    <w:rsid w:val="009717DD"/>
    <w:rsid w:val="009718C8"/>
    <w:rsid w:val="009775FD"/>
    <w:rsid w:val="009840E0"/>
    <w:rsid w:val="009B11B6"/>
    <w:rsid w:val="009C099B"/>
    <w:rsid w:val="009C59F4"/>
    <w:rsid w:val="009D2D79"/>
    <w:rsid w:val="009D7457"/>
    <w:rsid w:val="009E1969"/>
    <w:rsid w:val="009E5BFB"/>
    <w:rsid w:val="009F65B8"/>
    <w:rsid w:val="00A002E2"/>
    <w:rsid w:val="00A01014"/>
    <w:rsid w:val="00A04768"/>
    <w:rsid w:val="00A075B8"/>
    <w:rsid w:val="00A10028"/>
    <w:rsid w:val="00A1011A"/>
    <w:rsid w:val="00A10CB7"/>
    <w:rsid w:val="00A20DCA"/>
    <w:rsid w:val="00A238BB"/>
    <w:rsid w:val="00A24B6A"/>
    <w:rsid w:val="00A26FC1"/>
    <w:rsid w:val="00A32419"/>
    <w:rsid w:val="00A42137"/>
    <w:rsid w:val="00A450EE"/>
    <w:rsid w:val="00A57B6B"/>
    <w:rsid w:val="00A60D1D"/>
    <w:rsid w:val="00A64FA2"/>
    <w:rsid w:val="00A800ED"/>
    <w:rsid w:val="00A8264B"/>
    <w:rsid w:val="00A82D40"/>
    <w:rsid w:val="00A83115"/>
    <w:rsid w:val="00A86F70"/>
    <w:rsid w:val="00A90241"/>
    <w:rsid w:val="00A91A08"/>
    <w:rsid w:val="00A920A4"/>
    <w:rsid w:val="00A95781"/>
    <w:rsid w:val="00AA2AA8"/>
    <w:rsid w:val="00AC29DC"/>
    <w:rsid w:val="00AC33C3"/>
    <w:rsid w:val="00AD1A10"/>
    <w:rsid w:val="00AE2354"/>
    <w:rsid w:val="00AE5A15"/>
    <w:rsid w:val="00AF4283"/>
    <w:rsid w:val="00AF6FD9"/>
    <w:rsid w:val="00B0301D"/>
    <w:rsid w:val="00B16289"/>
    <w:rsid w:val="00B252D0"/>
    <w:rsid w:val="00B2542C"/>
    <w:rsid w:val="00B3340D"/>
    <w:rsid w:val="00B50942"/>
    <w:rsid w:val="00B54043"/>
    <w:rsid w:val="00B54F07"/>
    <w:rsid w:val="00B55F71"/>
    <w:rsid w:val="00B609AA"/>
    <w:rsid w:val="00B77C10"/>
    <w:rsid w:val="00B77EF7"/>
    <w:rsid w:val="00B862D2"/>
    <w:rsid w:val="00B86B6E"/>
    <w:rsid w:val="00BA06DF"/>
    <w:rsid w:val="00BA5BC4"/>
    <w:rsid w:val="00BA769E"/>
    <w:rsid w:val="00BC050D"/>
    <w:rsid w:val="00BC39F1"/>
    <w:rsid w:val="00BC4009"/>
    <w:rsid w:val="00BC712F"/>
    <w:rsid w:val="00BD5AE9"/>
    <w:rsid w:val="00BF5497"/>
    <w:rsid w:val="00BF5E31"/>
    <w:rsid w:val="00C02FFA"/>
    <w:rsid w:val="00C04381"/>
    <w:rsid w:val="00C1577D"/>
    <w:rsid w:val="00C17838"/>
    <w:rsid w:val="00C226D9"/>
    <w:rsid w:val="00C333E9"/>
    <w:rsid w:val="00C4638F"/>
    <w:rsid w:val="00C5180C"/>
    <w:rsid w:val="00C5317A"/>
    <w:rsid w:val="00C53245"/>
    <w:rsid w:val="00C64784"/>
    <w:rsid w:val="00C67AFB"/>
    <w:rsid w:val="00C83815"/>
    <w:rsid w:val="00C90E99"/>
    <w:rsid w:val="00C90FB7"/>
    <w:rsid w:val="00C94E71"/>
    <w:rsid w:val="00CB712E"/>
    <w:rsid w:val="00CC14BA"/>
    <w:rsid w:val="00CE07B6"/>
    <w:rsid w:val="00CE132D"/>
    <w:rsid w:val="00CE78F4"/>
    <w:rsid w:val="00CF5E06"/>
    <w:rsid w:val="00D05F90"/>
    <w:rsid w:val="00D13F4C"/>
    <w:rsid w:val="00D24D33"/>
    <w:rsid w:val="00D2532F"/>
    <w:rsid w:val="00D2735F"/>
    <w:rsid w:val="00D31654"/>
    <w:rsid w:val="00D34542"/>
    <w:rsid w:val="00D3619F"/>
    <w:rsid w:val="00D40F40"/>
    <w:rsid w:val="00D5503A"/>
    <w:rsid w:val="00D55D05"/>
    <w:rsid w:val="00D67463"/>
    <w:rsid w:val="00D71F9D"/>
    <w:rsid w:val="00D87448"/>
    <w:rsid w:val="00D94D4E"/>
    <w:rsid w:val="00DA078A"/>
    <w:rsid w:val="00DA1629"/>
    <w:rsid w:val="00DB6E3B"/>
    <w:rsid w:val="00DD265F"/>
    <w:rsid w:val="00DD3451"/>
    <w:rsid w:val="00DE2484"/>
    <w:rsid w:val="00DE5F6E"/>
    <w:rsid w:val="00DF111A"/>
    <w:rsid w:val="00E03308"/>
    <w:rsid w:val="00E10E69"/>
    <w:rsid w:val="00E14D2F"/>
    <w:rsid w:val="00E15EDD"/>
    <w:rsid w:val="00E47B88"/>
    <w:rsid w:val="00E72766"/>
    <w:rsid w:val="00E77C60"/>
    <w:rsid w:val="00EA1D79"/>
    <w:rsid w:val="00EA31AE"/>
    <w:rsid w:val="00EB2DDA"/>
    <w:rsid w:val="00EB433A"/>
    <w:rsid w:val="00ED087B"/>
    <w:rsid w:val="00ED5D78"/>
    <w:rsid w:val="00EE2FDC"/>
    <w:rsid w:val="00F0102A"/>
    <w:rsid w:val="00F05803"/>
    <w:rsid w:val="00F24691"/>
    <w:rsid w:val="00F24F21"/>
    <w:rsid w:val="00F25545"/>
    <w:rsid w:val="00F26DC5"/>
    <w:rsid w:val="00F27303"/>
    <w:rsid w:val="00F324DA"/>
    <w:rsid w:val="00F349E9"/>
    <w:rsid w:val="00F37AA6"/>
    <w:rsid w:val="00F42D0B"/>
    <w:rsid w:val="00F50E1B"/>
    <w:rsid w:val="00F530EB"/>
    <w:rsid w:val="00F651D2"/>
    <w:rsid w:val="00F67098"/>
    <w:rsid w:val="00F67C25"/>
    <w:rsid w:val="00F70FB5"/>
    <w:rsid w:val="00F77A9B"/>
    <w:rsid w:val="00F939BD"/>
    <w:rsid w:val="00F9587F"/>
    <w:rsid w:val="00FA1732"/>
    <w:rsid w:val="00FA220D"/>
    <w:rsid w:val="00FA637B"/>
    <w:rsid w:val="00FB6C14"/>
    <w:rsid w:val="00FD285F"/>
    <w:rsid w:val="00FD7278"/>
    <w:rsid w:val="00FD7474"/>
    <w:rsid w:val="00FD7DAA"/>
    <w:rsid w:val="00FE3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E0A"/>
    <w:rPr>
      <w:rFonts w:ascii="Times New Roman" w:eastAsia="Times New Roman" w:hAnsi="Times New Roman"/>
      <w:sz w:val="24"/>
      <w:szCs w:val="24"/>
    </w:rPr>
  </w:style>
  <w:style w:type="paragraph" w:styleId="1">
    <w:name w:val="heading 1"/>
    <w:basedOn w:val="a"/>
    <w:link w:val="10"/>
    <w:uiPriority w:val="9"/>
    <w:qFormat/>
    <w:rsid w:val="002A696A"/>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2A696A"/>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96A"/>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2A696A"/>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2A696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A696A"/>
    <w:rPr>
      <w:rFonts w:asciiTheme="majorHAnsi" w:eastAsiaTheme="majorEastAsia" w:hAnsiTheme="majorHAnsi" w:cstheme="majorBidi"/>
      <w:b/>
      <w:bCs/>
      <w:kern w:val="28"/>
      <w:sz w:val="32"/>
      <w:szCs w:val="32"/>
    </w:rPr>
  </w:style>
  <w:style w:type="character" w:styleId="a5">
    <w:name w:val="Strong"/>
    <w:basedOn w:val="a0"/>
    <w:uiPriority w:val="22"/>
    <w:qFormat/>
    <w:rsid w:val="002A696A"/>
    <w:rPr>
      <w:b/>
      <w:bCs/>
    </w:rPr>
  </w:style>
  <w:style w:type="paragraph" w:styleId="a6">
    <w:name w:val="No Spacing"/>
    <w:uiPriority w:val="1"/>
    <w:qFormat/>
    <w:rsid w:val="002A696A"/>
    <w:rPr>
      <w:rFonts w:ascii="Times New Roman" w:eastAsia="Times New Roman" w:hAnsi="Times New Roman"/>
      <w:sz w:val="24"/>
      <w:szCs w:val="24"/>
    </w:rPr>
  </w:style>
  <w:style w:type="paragraph" w:styleId="a7">
    <w:name w:val="List Paragraph"/>
    <w:basedOn w:val="a"/>
    <w:uiPriority w:val="34"/>
    <w:qFormat/>
    <w:rsid w:val="002A696A"/>
    <w:pPr>
      <w:widowControl w:val="0"/>
      <w:suppressAutoHyphens/>
      <w:ind w:left="720"/>
      <w:contextualSpacing/>
    </w:pPr>
    <w:rPr>
      <w:rFonts w:eastAsia="Lucida Sans Unicode"/>
      <w:lang w:eastAsia="ar-SA"/>
    </w:rPr>
  </w:style>
  <w:style w:type="paragraph" w:customStyle="1" w:styleId="ConsPlusNormal">
    <w:name w:val="ConsPlusNormal"/>
    <w:rsid w:val="003C1A45"/>
    <w:pPr>
      <w:widowControl w:val="0"/>
      <w:autoSpaceDE w:val="0"/>
      <w:autoSpaceDN w:val="0"/>
    </w:pPr>
    <w:rPr>
      <w:rFonts w:ascii="Times New Roman" w:eastAsia="Times New Roman" w:hAnsi="Times New Roman"/>
      <w:sz w:val="24"/>
    </w:rPr>
  </w:style>
  <w:style w:type="paragraph" w:customStyle="1" w:styleId="ConsPlusNonformat">
    <w:name w:val="ConsPlusNonformat"/>
    <w:rsid w:val="003C1A45"/>
    <w:pPr>
      <w:widowControl w:val="0"/>
      <w:autoSpaceDE w:val="0"/>
      <w:autoSpaceDN w:val="0"/>
    </w:pPr>
    <w:rPr>
      <w:rFonts w:ascii="Courier New" w:eastAsia="Times New Roman" w:hAnsi="Courier New" w:cs="Courier New"/>
    </w:rPr>
  </w:style>
  <w:style w:type="paragraph" w:styleId="a8">
    <w:name w:val="header"/>
    <w:basedOn w:val="a"/>
    <w:link w:val="a9"/>
    <w:uiPriority w:val="99"/>
    <w:unhideWhenUsed/>
    <w:rsid w:val="00067BAF"/>
    <w:pPr>
      <w:tabs>
        <w:tab w:val="center" w:pos="4677"/>
        <w:tab w:val="right" w:pos="9355"/>
      </w:tabs>
    </w:pPr>
  </w:style>
  <w:style w:type="character" w:customStyle="1" w:styleId="a9">
    <w:name w:val="Верхний колонтитул Знак"/>
    <w:basedOn w:val="a0"/>
    <w:link w:val="a8"/>
    <w:uiPriority w:val="99"/>
    <w:rsid w:val="00067BAF"/>
    <w:rPr>
      <w:rFonts w:ascii="Times New Roman" w:eastAsia="Times New Roman" w:hAnsi="Times New Roman"/>
      <w:sz w:val="24"/>
      <w:szCs w:val="24"/>
    </w:rPr>
  </w:style>
  <w:style w:type="paragraph" w:styleId="aa">
    <w:name w:val="footer"/>
    <w:basedOn w:val="a"/>
    <w:link w:val="ab"/>
    <w:uiPriority w:val="99"/>
    <w:semiHidden/>
    <w:unhideWhenUsed/>
    <w:rsid w:val="00067BAF"/>
    <w:pPr>
      <w:tabs>
        <w:tab w:val="center" w:pos="4677"/>
        <w:tab w:val="right" w:pos="9355"/>
      </w:tabs>
    </w:pPr>
  </w:style>
  <w:style w:type="character" w:customStyle="1" w:styleId="ab">
    <w:name w:val="Нижний колонтитул Знак"/>
    <w:basedOn w:val="a0"/>
    <w:link w:val="aa"/>
    <w:uiPriority w:val="99"/>
    <w:semiHidden/>
    <w:rsid w:val="00067B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755974">
      <w:bodyDiv w:val="1"/>
      <w:marLeft w:val="0"/>
      <w:marRight w:val="0"/>
      <w:marTop w:val="0"/>
      <w:marBottom w:val="0"/>
      <w:divBdr>
        <w:top w:val="none" w:sz="0" w:space="0" w:color="auto"/>
        <w:left w:val="none" w:sz="0" w:space="0" w:color="auto"/>
        <w:bottom w:val="none" w:sz="0" w:space="0" w:color="auto"/>
        <w:right w:val="none" w:sz="0" w:space="0" w:color="auto"/>
      </w:divBdr>
    </w:div>
    <w:div w:id="19096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ovnakaryakov</dc:creator>
  <cp:lastModifiedBy>Изосимова Л.А.</cp:lastModifiedBy>
  <cp:revision>7</cp:revision>
  <cp:lastPrinted>2022-12-21T09:10:00Z</cp:lastPrinted>
  <dcterms:created xsi:type="dcterms:W3CDTF">2022-12-05T08:20:00Z</dcterms:created>
  <dcterms:modified xsi:type="dcterms:W3CDTF">2022-12-22T12:35:00Z</dcterms:modified>
</cp:coreProperties>
</file>