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B1EEF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B1EEF">
        <w:rPr>
          <w:rFonts w:ascii="Times New Roman" w:hAnsi="Times New Roman" w:cs="Times New Roman"/>
          <w:sz w:val="28"/>
          <w:szCs w:val="28"/>
          <w:u w:val="single"/>
        </w:rPr>
        <w:t xml:space="preserve">февраля 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5F48" w:rsidRDefault="003C1A45" w:rsidP="005B5F48">
      <w:pPr>
        <w:ind w:firstLine="426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5B5F48" w:rsidRPr="0031599D">
        <w:rPr>
          <w:bCs/>
          <w:sz w:val="28"/>
          <w:szCs w:val="28"/>
        </w:rPr>
        <w:t>Местной</w:t>
      </w:r>
      <w:r w:rsidR="005B5F48">
        <w:rPr>
          <w:bCs/>
          <w:sz w:val="28"/>
          <w:szCs w:val="28"/>
        </w:rPr>
        <w:t xml:space="preserve"> </w:t>
      </w:r>
      <w:r w:rsidR="005B5F48" w:rsidRPr="0031599D">
        <w:rPr>
          <w:bCs/>
          <w:sz w:val="28"/>
          <w:szCs w:val="28"/>
        </w:rPr>
        <w:t>религиозной организации православному</w:t>
      </w:r>
      <w:r w:rsidR="005B5F48">
        <w:rPr>
          <w:bCs/>
          <w:sz w:val="28"/>
          <w:szCs w:val="28"/>
        </w:rPr>
        <w:t xml:space="preserve"> </w:t>
      </w:r>
      <w:r w:rsidR="005B5F48" w:rsidRPr="0031599D">
        <w:rPr>
          <w:bCs/>
          <w:sz w:val="28"/>
          <w:szCs w:val="28"/>
        </w:rPr>
        <w:t xml:space="preserve">Приходу храма во имя св. </w:t>
      </w:r>
      <w:proofErr w:type="spellStart"/>
      <w:r w:rsidR="005B5F48" w:rsidRPr="0031599D">
        <w:rPr>
          <w:bCs/>
          <w:sz w:val="28"/>
          <w:szCs w:val="28"/>
        </w:rPr>
        <w:t>вмч</w:t>
      </w:r>
      <w:proofErr w:type="spellEnd"/>
      <w:r w:rsidR="005B5F48" w:rsidRPr="0031599D">
        <w:rPr>
          <w:bCs/>
          <w:sz w:val="28"/>
          <w:szCs w:val="28"/>
        </w:rPr>
        <w:t>. Георгия</w:t>
      </w:r>
      <w:r w:rsidR="005B5F48">
        <w:rPr>
          <w:bCs/>
          <w:sz w:val="28"/>
          <w:szCs w:val="28"/>
        </w:rPr>
        <w:t xml:space="preserve"> </w:t>
      </w:r>
      <w:r w:rsidR="005B5F48" w:rsidRPr="0031599D">
        <w:rPr>
          <w:bCs/>
          <w:sz w:val="28"/>
          <w:szCs w:val="28"/>
        </w:rPr>
        <w:t xml:space="preserve">Победоносца г. Воронежа религиозной организации «Воронежская Епархия Русской Православной Церкви (Московский Патриархат)» разрешения на условно разрешенный вид </w:t>
      </w:r>
    </w:p>
    <w:p w:rsidR="00254AD6" w:rsidRPr="00072761" w:rsidRDefault="005B5F48" w:rsidP="005B5F48">
      <w:pPr>
        <w:jc w:val="both"/>
        <w:rPr>
          <w:sz w:val="28"/>
          <w:szCs w:val="28"/>
          <w:u w:val="single"/>
        </w:rPr>
      </w:pPr>
      <w:r w:rsidRPr="0031599D">
        <w:rPr>
          <w:bCs/>
          <w:sz w:val="28"/>
          <w:szCs w:val="28"/>
        </w:rPr>
        <w:t xml:space="preserve">использования земельного участка по ул. </w:t>
      </w:r>
      <w:proofErr w:type="gramStart"/>
      <w:r w:rsidRPr="0031599D">
        <w:rPr>
          <w:bCs/>
          <w:sz w:val="28"/>
          <w:szCs w:val="28"/>
        </w:rPr>
        <w:t>Загородная</w:t>
      </w:r>
      <w:proofErr w:type="gramEnd"/>
      <w:r w:rsidRPr="0031599D">
        <w:rPr>
          <w:bCs/>
          <w:sz w:val="28"/>
          <w:szCs w:val="28"/>
        </w:rPr>
        <w:t>, 42</w:t>
      </w:r>
      <w:r>
        <w:rPr>
          <w:bCs/>
          <w:sz w:val="28"/>
          <w:szCs w:val="28"/>
        </w:rPr>
        <w:t xml:space="preserve"> </w:t>
      </w:r>
      <w:r w:rsidRPr="0031599D">
        <w:rPr>
          <w:bCs/>
          <w:sz w:val="28"/>
          <w:szCs w:val="28"/>
        </w:rPr>
        <w:t xml:space="preserve">(кадастровый номер </w:t>
      </w:r>
      <w:r w:rsidRPr="005B5F48">
        <w:rPr>
          <w:bCs/>
          <w:sz w:val="28"/>
          <w:szCs w:val="28"/>
          <w:u w:val="single"/>
        </w:rPr>
        <w:t>36:34:0208068:18)</w:t>
      </w:r>
      <w:r>
        <w:rPr>
          <w:bCs/>
          <w:sz w:val="28"/>
          <w:szCs w:val="28"/>
          <w:u w:val="single"/>
        </w:rPr>
        <w:t>_______________________________________________</w:t>
      </w:r>
      <w:r w:rsidR="00CB5D91" w:rsidRPr="00072761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F83D7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94245">
        <w:rPr>
          <w:sz w:val="28"/>
          <w:szCs w:val="28"/>
        </w:rPr>
        <w:t>2</w:t>
      </w:r>
      <w:r w:rsidR="00F83D76">
        <w:rPr>
          <w:sz w:val="28"/>
          <w:szCs w:val="28"/>
        </w:rPr>
        <w:t>4</w:t>
      </w:r>
      <w:r w:rsidR="00535E95">
        <w:rPr>
          <w:sz w:val="28"/>
          <w:szCs w:val="28"/>
        </w:rPr>
        <w:t>.</w:t>
      </w:r>
      <w:r w:rsidR="00F83D76">
        <w:rPr>
          <w:sz w:val="28"/>
          <w:szCs w:val="28"/>
        </w:rPr>
        <w:t>12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F83D76">
        <w:rPr>
          <w:sz w:val="28"/>
          <w:szCs w:val="28"/>
        </w:rPr>
        <w:t>199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>О назначении публичных слушаний по вопросу предоставления Местной</w:t>
      </w:r>
      <w:r w:rsidR="00F83D76">
        <w:rPr>
          <w:bCs/>
          <w:sz w:val="28"/>
          <w:szCs w:val="28"/>
        </w:rPr>
        <w:t xml:space="preserve"> </w:t>
      </w:r>
      <w:r w:rsidR="00F83D76" w:rsidRPr="0031599D">
        <w:rPr>
          <w:bCs/>
          <w:sz w:val="28"/>
          <w:szCs w:val="28"/>
        </w:rPr>
        <w:t>религиозной организации православному</w:t>
      </w:r>
      <w:r w:rsidR="00F83D76">
        <w:rPr>
          <w:bCs/>
          <w:sz w:val="28"/>
          <w:szCs w:val="28"/>
        </w:rPr>
        <w:t xml:space="preserve"> </w:t>
      </w:r>
      <w:r w:rsidR="00F83D76" w:rsidRPr="0031599D">
        <w:rPr>
          <w:bCs/>
          <w:sz w:val="28"/>
          <w:szCs w:val="28"/>
        </w:rPr>
        <w:t xml:space="preserve">Приходу храма во имя св. </w:t>
      </w:r>
      <w:proofErr w:type="spellStart"/>
      <w:r w:rsidR="00F83D76" w:rsidRPr="0031599D">
        <w:rPr>
          <w:bCs/>
          <w:sz w:val="28"/>
          <w:szCs w:val="28"/>
        </w:rPr>
        <w:t>вмч</w:t>
      </w:r>
      <w:proofErr w:type="spellEnd"/>
      <w:r w:rsidR="00F83D76" w:rsidRPr="0031599D">
        <w:rPr>
          <w:bCs/>
          <w:sz w:val="28"/>
          <w:szCs w:val="28"/>
        </w:rPr>
        <w:t>. Георгия</w:t>
      </w:r>
      <w:r w:rsidR="00F83D76">
        <w:rPr>
          <w:bCs/>
          <w:sz w:val="28"/>
          <w:szCs w:val="28"/>
        </w:rPr>
        <w:t xml:space="preserve"> </w:t>
      </w:r>
      <w:r w:rsidR="00F83D76" w:rsidRPr="0031599D">
        <w:rPr>
          <w:bCs/>
          <w:sz w:val="28"/>
          <w:szCs w:val="28"/>
        </w:rPr>
        <w:t>Победоносца г. Воронежа религиозной организации «Воронежская Епархия Русской Православной Церкви (Московский Патриархат)» разрешения на условно разрешенный вид использования земельного участка по ул. Загородная, 42</w:t>
      </w:r>
      <w:r w:rsidR="00F83D76">
        <w:rPr>
          <w:bCs/>
          <w:sz w:val="28"/>
          <w:szCs w:val="28"/>
        </w:rPr>
        <w:t xml:space="preserve"> </w:t>
      </w:r>
      <w:r w:rsidR="00F83D76" w:rsidRPr="0031599D">
        <w:rPr>
          <w:bCs/>
          <w:sz w:val="28"/>
          <w:szCs w:val="28"/>
        </w:rPr>
        <w:t xml:space="preserve">(кадастровый номер </w:t>
      </w:r>
      <w:r w:rsidR="00F83D76" w:rsidRPr="00F83D76">
        <w:rPr>
          <w:bCs/>
          <w:sz w:val="28"/>
          <w:szCs w:val="28"/>
          <w:u w:val="single"/>
        </w:rPr>
        <w:t>36:34:0208068:18)</w:t>
      </w:r>
      <w:r w:rsidR="00094245" w:rsidRPr="00F83D76">
        <w:rPr>
          <w:bCs/>
          <w:sz w:val="28"/>
          <w:szCs w:val="28"/>
          <w:u w:val="single"/>
        </w:rPr>
        <w:t>»_______________________________________________</w:t>
      </w:r>
      <w:r w:rsidR="00535E95" w:rsidRPr="00F83D76">
        <w:rPr>
          <w:bCs/>
          <w:sz w:val="28"/>
          <w:szCs w:val="28"/>
          <w:u w:val="single"/>
        </w:rPr>
        <w:t>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4472F7">
        <w:rPr>
          <w:rFonts w:ascii="Times New Roman" w:hAnsi="Times New Roman" w:cs="Times New Roman"/>
          <w:sz w:val="28"/>
          <w:szCs w:val="28"/>
        </w:rPr>
        <w:t>7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83D76">
        <w:rPr>
          <w:rFonts w:ascii="Times New Roman" w:hAnsi="Times New Roman" w:cs="Times New Roman"/>
          <w:sz w:val="28"/>
          <w:szCs w:val="28"/>
        </w:rPr>
        <w:t>22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38609A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910DFB" w:rsidRDefault="003C1A45" w:rsidP="00553549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553549" w:rsidRPr="00210951" w:rsidRDefault="00553549" w:rsidP="005535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7"/>
        <w:gridCol w:w="709"/>
        <w:gridCol w:w="4560"/>
      </w:tblGrid>
      <w:tr w:rsidR="00553549" w:rsidRPr="00210951" w:rsidTr="00BC03A1">
        <w:trPr>
          <w:trHeight w:val="1519"/>
          <w:tblHeader/>
          <w:jc w:val="center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9" w:rsidRPr="003D6348" w:rsidRDefault="00553549" w:rsidP="00E02B9C">
            <w:pPr>
              <w:pStyle w:val="ConsPlusNormal"/>
              <w:jc w:val="center"/>
              <w:rPr>
                <w:sz w:val="26"/>
                <w:szCs w:val="26"/>
              </w:rPr>
            </w:pPr>
            <w:r w:rsidRPr="003D6348">
              <w:rPr>
                <w:sz w:val="26"/>
                <w:szCs w:val="26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9" w:rsidRPr="003D6348" w:rsidRDefault="00553549" w:rsidP="00E02B9C">
            <w:pPr>
              <w:pStyle w:val="ConsPlusNormal"/>
              <w:jc w:val="center"/>
              <w:rPr>
                <w:sz w:val="26"/>
                <w:szCs w:val="26"/>
              </w:rPr>
            </w:pPr>
            <w:r w:rsidRPr="003D6348">
              <w:rPr>
                <w:sz w:val="26"/>
                <w:szCs w:val="26"/>
              </w:rPr>
              <w:t>Кол-во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9" w:rsidRPr="003D6348" w:rsidRDefault="00553549" w:rsidP="00E02B9C">
            <w:pPr>
              <w:pStyle w:val="ConsPlusNormal"/>
              <w:jc w:val="center"/>
              <w:rPr>
                <w:sz w:val="26"/>
                <w:szCs w:val="26"/>
              </w:rPr>
            </w:pPr>
            <w:r w:rsidRPr="003D6348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F0968" w:rsidRPr="00210951" w:rsidTr="007754F8">
        <w:trPr>
          <w:trHeight w:val="735"/>
          <w:jc w:val="center"/>
        </w:trPr>
        <w:tc>
          <w:tcPr>
            <w:tcW w:w="4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D0" w:rsidRDefault="000222D0" w:rsidP="000222D0">
            <w:pPr>
              <w:jc w:val="both"/>
              <w:rPr>
                <w:b/>
                <w:sz w:val="26"/>
                <w:szCs w:val="26"/>
              </w:rPr>
            </w:pPr>
            <w:r w:rsidRPr="000222D0">
              <w:rPr>
                <w:b/>
                <w:sz w:val="26"/>
                <w:szCs w:val="26"/>
              </w:rPr>
              <w:t xml:space="preserve">        От участников публичных слушаний</w:t>
            </w:r>
            <w:r w:rsidR="00BB08D2">
              <w:rPr>
                <w:b/>
                <w:sz w:val="26"/>
                <w:szCs w:val="26"/>
              </w:rPr>
              <w:t xml:space="preserve"> (30 человек) и от иных граждан (13 человек)</w:t>
            </w:r>
            <w:r w:rsidRPr="000222D0">
              <w:rPr>
                <w:b/>
                <w:sz w:val="26"/>
                <w:szCs w:val="26"/>
              </w:rPr>
              <w:t>:</w:t>
            </w:r>
          </w:p>
          <w:p w:rsidR="000222D0" w:rsidRPr="000222D0" w:rsidRDefault="000222D0" w:rsidP="000222D0">
            <w:pPr>
              <w:jc w:val="both"/>
              <w:rPr>
                <w:sz w:val="26"/>
                <w:szCs w:val="26"/>
              </w:rPr>
            </w:pPr>
            <w:r w:rsidRPr="000222D0">
              <w:rPr>
                <w:sz w:val="26"/>
                <w:szCs w:val="26"/>
              </w:rPr>
              <w:t xml:space="preserve">     Согласовать вопрос о предоставлении разрешения на условно разрешенный вид использования «культовые сооружения» земельного участка по ул. </w:t>
            </w:r>
            <w:proofErr w:type="gramStart"/>
            <w:r w:rsidRPr="000222D0">
              <w:rPr>
                <w:sz w:val="26"/>
                <w:szCs w:val="26"/>
              </w:rPr>
              <w:t>Загородная</w:t>
            </w:r>
            <w:proofErr w:type="gramEnd"/>
            <w:r w:rsidRPr="000222D0">
              <w:rPr>
                <w:sz w:val="26"/>
                <w:szCs w:val="26"/>
              </w:rPr>
              <w:t>, 42</w:t>
            </w:r>
          </w:p>
          <w:p w:rsidR="00BB08D2" w:rsidRPr="000222D0" w:rsidRDefault="00BB08D2" w:rsidP="00BB08D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</w:p>
          <w:p w:rsidR="000222D0" w:rsidRPr="001A1201" w:rsidRDefault="000222D0" w:rsidP="00BB08D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8" w:rsidRDefault="00EF0968" w:rsidP="00E02B9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0222D0" w:rsidRDefault="000222D0" w:rsidP="00E02B9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0222D0" w:rsidRDefault="000222D0" w:rsidP="00E02B9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0222D0" w:rsidRDefault="000222D0" w:rsidP="00E02B9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F0968" w:rsidRDefault="00BB08D2" w:rsidP="00E02B9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  <w:p w:rsidR="00EF0968" w:rsidRDefault="00EF0968" w:rsidP="00E02B9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F0968" w:rsidRDefault="00EF0968" w:rsidP="00E02B9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F0968" w:rsidRDefault="00EF0968" w:rsidP="00E02B9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F0968" w:rsidRPr="00AE6118" w:rsidRDefault="00EF0968" w:rsidP="00E02B9C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D2" w:rsidRDefault="00BB08D2" w:rsidP="007D2A54">
            <w:pPr>
              <w:jc w:val="both"/>
              <w:rPr>
                <w:sz w:val="26"/>
                <w:szCs w:val="26"/>
              </w:rPr>
            </w:pPr>
          </w:p>
          <w:p w:rsidR="00BB08D2" w:rsidRDefault="00BB08D2" w:rsidP="007D2A54">
            <w:pPr>
              <w:jc w:val="both"/>
              <w:rPr>
                <w:sz w:val="26"/>
                <w:szCs w:val="26"/>
              </w:rPr>
            </w:pPr>
          </w:p>
          <w:p w:rsidR="00BB08D2" w:rsidRDefault="00BB08D2" w:rsidP="007D2A54">
            <w:pPr>
              <w:jc w:val="both"/>
              <w:rPr>
                <w:sz w:val="26"/>
                <w:szCs w:val="26"/>
              </w:rPr>
            </w:pPr>
          </w:p>
          <w:p w:rsidR="000222D0" w:rsidRPr="00BB08D2" w:rsidRDefault="00EF0968" w:rsidP="007D2A54">
            <w:pPr>
              <w:jc w:val="both"/>
              <w:rPr>
                <w:bCs/>
                <w:sz w:val="26"/>
                <w:szCs w:val="26"/>
              </w:rPr>
            </w:pPr>
            <w:r w:rsidRPr="001C47EF">
              <w:rPr>
                <w:sz w:val="26"/>
                <w:szCs w:val="26"/>
              </w:rPr>
              <w:t xml:space="preserve">Целесообразно к учету при условии </w:t>
            </w:r>
            <w:r w:rsidRPr="001C47EF">
              <w:rPr>
                <w:color w:val="000000"/>
                <w:sz w:val="26"/>
                <w:szCs w:val="26"/>
              </w:rPr>
              <w:t>соблюдения технических и градостроительных регламентов, нормативов градостроительного проектирования и иных обязательных требований, установленных в соответствии с законодательством Российской Федерации</w:t>
            </w:r>
            <w:r w:rsidRPr="001C47EF">
              <w:rPr>
                <w:bCs/>
                <w:sz w:val="26"/>
                <w:szCs w:val="26"/>
              </w:rPr>
              <w:t>.</w:t>
            </w:r>
          </w:p>
        </w:tc>
      </w:tr>
      <w:tr w:rsidR="001646DC" w:rsidRPr="00210951" w:rsidTr="00BC03A1">
        <w:trPr>
          <w:trHeight w:val="653"/>
          <w:jc w:val="center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EF" w:rsidRPr="007D2A54" w:rsidRDefault="001C47EF" w:rsidP="001C47EF">
            <w:pPr>
              <w:pStyle w:val="ConsPlusNormal"/>
              <w:jc w:val="both"/>
              <w:rPr>
                <w:bCs/>
                <w:sz w:val="26"/>
                <w:szCs w:val="26"/>
              </w:rPr>
            </w:pPr>
            <w:r w:rsidRPr="001C47EF">
              <w:rPr>
                <w:bCs/>
                <w:sz w:val="26"/>
                <w:szCs w:val="26"/>
              </w:rPr>
              <w:lastRenderedPageBreak/>
              <w:t xml:space="preserve">    </w:t>
            </w:r>
            <w:r w:rsidR="00BC03A1">
              <w:rPr>
                <w:bCs/>
                <w:sz w:val="26"/>
                <w:szCs w:val="26"/>
              </w:rPr>
              <w:t xml:space="preserve"> </w:t>
            </w:r>
            <w:r w:rsidRPr="001C47EF">
              <w:rPr>
                <w:bCs/>
                <w:sz w:val="26"/>
                <w:szCs w:val="26"/>
              </w:rPr>
              <w:t xml:space="preserve">Перенести вход в храм с </w:t>
            </w:r>
            <w:r w:rsidR="00C733D2">
              <w:rPr>
                <w:bCs/>
                <w:sz w:val="26"/>
                <w:szCs w:val="26"/>
              </w:rPr>
              <w:t xml:space="preserve">         </w:t>
            </w:r>
            <w:r w:rsidR="007130DC">
              <w:rPr>
                <w:bCs/>
                <w:sz w:val="26"/>
                <w:szCs w:val="26"/>
              </w:rPr>
              <w:t xml:space="preserve">ул. </w:t>
            </w:r>
            <w:proofErr w:type="gramStart"/>
            <w:r w:rsidRPr="001C47EF">
              <w:rPr>
                <w:bCs/>
                <w:sz w:val="26"/>
                <w:szCs w:val="26"/>
              </w:rPr>
              <w:t>Утренняя</w:t>
            </w:r>
            <w:proofErr w:type="gramEnd"/>
            <w:r w:rsidRPr="001C47EF">
              <w:rPr>
                <w:bCs/>
                <w:sz w:val="26"/>
                <w:szCs w:val="26"/>
              </w:rPr>
              <w:t xml:space="preserve">, </w:t>
            </w:r>
            <w:r w:rsidR="008D64D9">
              <w:rPr>
                <w:bCs/>
                <w:sz w:val="26"/>
                <w:szCs w:val="26"/>
              </w:rPr>
              <w:t xml:space="preserve">обеспечить </w:t>
            </w:r>
            <w:r w:rsidRPr="001C47EF">
              <w:rPr>
                <w:bCs/>
                <w:sz w:val="26"/>
                <w:szCs w:val="26"/>
              </w:rPr>
              <w:t>соблюд</w:t>
            </w:r>
            <w:r w:rsidR="008D64D9">
              <w:rPr>
                <w:bCs/>
                <w:sz w:val="26"/>
                <w:szCs w:val="26"/>
              </w:rPr>
              <w:t xml:space="preserve">ение </w:t>
            </w:r>
            <w:r w:rsidRPr="001C47EF">
              <w:rPr>
                <w:bCs/>
                <w:sz w:val="26"/>
                <w:szCs w:val="26"/>
              </w:rPr>
              <w:t>чистот</w:t>
            </w:r>
            <w:r w:rsidR="008D64D9">
              <w:rPr>
                <w:bCs/>
                <w:sz w:val="26"/>
                <w:szCs w:val="26"/>
              </w:rPr>
              <w:t>ы и</w:t>
            </w:r>
            <w:r w:rsidRPr="001C47EF">
              <w:rPr>
                <w:bCs/>
                <w:sz w:val="26"/>
                <w:szCs w:val="26"/>
              </w:rPr>
              <w:t xml:space="preserve"> порядк</w:t>
            </w:r>
            <w:r w:rsidR="008D64D9">
              <w:rPr>
                <w:bCs/>
                <w:sz w:val="26"/>
                <w:szCs w:val="26"/>
              </w:rPr>
              <w:t xml:space="preserve">а для </w:t>
            </w:r>
            <w:r w:rsidRPr="001C47EF">
              <w:rPr>
                <w:bCs/>
                <w:sz w:val="26"/>
                <w:szCs w:val="26"/>
              </w:rPr>
              <w:t>нормальны</w:t>
            </w:r>
            <w:r w:rsidR="008D64D9">
              <w:rPr>
                <w:bCs/>
                <w:sz w:val="26"/>
                <w:szCs w:val="26"/>
              </w:rPr>
              <w:t>х</w:t>
            </w:r>
            <w:r w:rsidRPr="001C47EF">
              <w:rPr>
                <w:bCs/>
                <w:sz w:val="26"/>
                <w:szCs w:val="26"/>
              </w:rPr>
              <w:t xml:space="preserve"> услови</w:t>
            </w:r>
            <w:r w:rsidR="008D64D9">
              <w:rPr>
                <w:bCs/>
                <w:sz w:val="26"/>
                <w:szCs w:val="26"/>
              </w:rPr>
              <w:t>й</w:t>
            </w:r>
            <w:r w:rsidRPr="001C47EF">
              <w:rPr>
                <w:bCs/>
                <w:sz w:val="26"/>
                <w:szCs w:val="26"/>
              </w:rPr>
              <w:t xml:space="preserve"> проживания соседей</w:t>
            </w:r>
            <w:r w:rsidR="008D64D9">
              <w:rPr>
                <w:bCs/>
                <w:sz w:val="26"/>
                <w:szCs w:val="26"/>
              </w:rPr>
              <w:t>, демонтировать</w:t>
            </w:r>
            <w:r w:rsidR="007D2A54">
              <w:rPr>
                <w:bCs/>
                <w:sz w:val="26"/>
                <w:szCs w:val="26"/>
              </w:rPr>
              <w:t xml:space="preserve"> </w:t>
            </w:r>
            <w:r w:rsidRPr="001C47EF">
              <w:rPr>
                <w:bCs/>
                <w:sz w:val="26"/>
                <w:szCs w:val="26"/>
              </w:rPr>
              <w:t>металлический забор вокруг храма</w:t>
            </w:r>
            <w:r w:rsidR="008D64D9">
              <w:rPr>
                <w:bCs/>
                <w:sz w:val="26"/>
                <w:szCs w:val="26"/>
              </w:rPr>
              <w:t xml:space="preserve"> в соответствии с предписанием</w:t>
            </w:r>
            <w:r w:rsidR="007D2A54">
              <w:rPr>
                <w:bCs/>
                <w:sz w:val="26"/>
                <w:szCs w:val="26"/>
              </w:rPr>
              <w:t>.</w:t>
            </w:r>
            <w:r w:rsidR="007D2A54">
              <w:rPr>
                <w:sz w:val="26"/>
                <w:szCs w:val="26"/>
              </w:rPr>
              <w:t xml:space="preserve"> Отказать в предоставлении </w:t>
            </w:r>
            <w:r w:rsidR="007D2A54" w:rsidRPr="001A1201">
              <w:rPr>
                <w:sz w:val="26"/>
                <w:szCs w:val="26"/>
              </w:rPr>
              <w:t>разрешения на условно разрешенный вид</w:t>
            </w:r>
            <w:r w:rsidR="007D2A54" w:rsidRPr="001A1201">
              <w:rPr>
                <w:bCs/>
                <w:sz w:val="26"/>
                <w:szCs w:val="26"/>
              </w:rPr>
              <w:t xml:space="preserve"> использования «культовые сооружения»</w:t>
            </w:r>
            <w:r w:rsidR="007D2A54">
              <w:rPr>
                <w:bCs/>
                <w:sz w:val="26"/>
                <w:szCs w:val="26"/>
              </w:rPr>
              <w:t xml:space="preserve"> земельного участка по </w:t>
            </w:r>
            <w:r w:rsidR="00516F72">
              <w:rPr>
                <w:bCs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7D2A54">
              <w:rPr>
                <w:bCs/>
                <w:sz w:val="26"/>
                <w:szCs w:val="26"/>
              </w:rPr>
              <w:t xml:space="preserve">ул. </w:t>
            </w:r>
            <w:proofErr w:type="gramStart"/>
            <w:r w:rsidR="007D2A54">
              <w:rPr>
                <w:bCs/>
                <w:sz w:val="26"/>
                <w:szCs w:val="26"/>
              </w:rPr>
              <w:t>Загородная</w:t>
            </w:r>
            <w:proofErr w:type="gramEnd"/>
            <w:r w:rsidR="007D2A54">
              <w:rPr>
                <w:bCs/>
                <w:sz w:val="26"/>
                <w:szCs w:val="26"/>
              </w:rPr>
              <w:t>, 42</w:t>
            </w:r>
            <w:r w:rsidR="00BC03A1">
              <w:rPr>
                <w:bCs/>
                <w:sz w:val="26"/>
                <w:szCs w:val="26"/>
              </w:rPr>
              <w:t xml:space="preserve"> с учетом замечаний, изложенных в письменном обращении</w:t>
            </w:r>
            <w:r w:rsidR="007D2A54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DC" w:rsidRDefault="0001604B" w:rsidP="00F120B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733D2">
              <w:rPr>
                <w:sz w:val="26"/>
                <w:szCs w:val="26"/>
              </w:rPr>
              <w:t>3</w:t>
            </w:r>
          </w:p>
          <w:p w:rsidR="001C47EF" w:rsidRDefault="001C47EF" w:rsidP="00F120B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1C47EF" w:rsidRDefault="001C47EF" w:rsidP="00F120B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1C47EF" w:rsidRDefault="001C47EF" w:rsidP="00F120B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DC" w:rsidRPr="001A1201" w:rsidRDefault="00BC03A1" w:rsidP="00BC03A1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7D2A54">
              <w:rPr>
                <w:sz w:val="26"/>
                <w:szCs w:val="26"/>
              </w:rPr>
              <w:t xml:space="preserve">Нецелесообразно к учету, </w:t>
            </w:r>
            <w:r>
              <w:rPr>
                <w:sz w:val="26"/>
                <w:szCs w:val="26"/>
              </w:rPr>
              <w:t>в связи с тем, что представленные предложения и замечания не относятся к предмету обсуждения, вынесенному на публичные слушания.</w:t>
            </w:r>
          </w:p>
        </w:tc>
      </w:tr>
    </w:tbl>
    <w:p w:rsidR="00553549" w:rsidRDefault="00553549" w:rsidP="00BC03A1">
      <w:pPr>
        <w:spacing w:line="360" w:lineRule="auto"/>
        <w:jc w:val="both"/>
        <w:rPr>
          <w:sz w:val="28"/>
          <w:szCs w:val="28"/>
        </w:rPr>
      </w:pPr>
    </w:p>
    <w:p w:rsidR="00735C18" w:rsidRPr="00735C18" w:rsidRDefault="0096124B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EA05B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</w:t>
      </w:r>
      <w:r w:rsidR="0096124B">
        <w:rPr>
          <w:sz w:val="28"/>
          <w:szCs w:val="28"/>
        </w:rPr>
        <w:t xml:space="preserve">       Я.А. Агаркова</w:t>
      </w:r>
    </w:p>
    <w:p w:rsidR="00EA05B7" w:rsidRDefault="00EA05B7" w:rsidP="008D6DF4">
      <w:pPr>
        <w:jc w:val="both"/>
        <w:rPr>
          <w:sz w:val="20"/>
          <w:szCs w:val="20"/>
        </w:rPr>
      </w:pPr>
    </w:p>
    <w:p w:rsidR="00EA05B7" w:rsidRDefault="00EA05B7" w:rsidP="008D6DF4">
      <w:pPr>
        <w:jc w:val="both"/>
        <w:rPr>
          <w:sz w:val="20"/>
          <w:szCs w:val="20"/>
        </w:rPr>
      </w:pPr>
    </w:p>
    <w:p w:rsidR="00EA05B7" w:rsidRDefault="00EA05B7" w:rsidP="008D6DF4">
      <w:pPr>
        <w:jc w:val="both"/>
        <w:rPr>
          <w:sz w:val="20"/>
          <w:szCs w:val="20"/>
        </w:rPr>
      </w:pPr>
    </w:p>
    <w:p w:rsidR="00BC03A1" w:rsidRDefault="00BC03A1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96124B" w:rsidRDefault="0096124B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BB08D2" w:rsidRDefault="00BB08D2" w:rsidP="008D6DF4">
      <w:pPr>
        <w:jc w:val="both"/>
        <w:rPr>
          <w:sz w:val="20"/>
          <w:szCs w:val="20"/>
        </w:rPr>
      </w:pPr>
    </w:p>
    <w:p w:rsidR="008D6DF4" w:rsidRDefault="0096124B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96124B">
        <w:rPr>
          <w:sz w:val="20"/>
          <w:szCs w:val="20"/>
        </w:rPr>
        <w:t>1-66</w:t>
      </w:r>
    </w:p>
    <w:p w:rsidR="00365021" w:rsidRDefault="00365021" w:rsidP="001D0E0A">
      <w:pPr>
        <w:jc w:val="both"/>
        <w:rPr>
          <w:sz w:val="16"/>
          <w:szCs w:val="16"/>
        </w:rPr>
      </w:pPr>
    </w:p>
    <w:sectPr w:rsidR="00365021" w:rsidSect="00451052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9A" w:rsidRDefault="00802A9A" w:rsidP="00451052">
      <w:r>
        <w:separator/>
      </w:r>
    </w:p>
  </w:endnote>
  <w:endnote w:type="continuationSeparator" w:id="0">
    <w:p w:rsidR="00802A9A" w:rsidRDefault="00802A9A" w:rsidP="0045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9A" w:rsidRDefault="00802A9A" w:rsidP="00451052">
      <w:r>
        <w:separator/>
      </w:r>
    </w:p>
  </w:footnote>
  <w:footnote w:type="continuationSeparator" w:id="0">
    <w:p w:rsidR="00802A9A" w:rsidRDefault="00802A9A" w:rsidP="00451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159366"/>
      <w:docPartObj>
        <w:docPartGallery w:val="Page Numbers (Top of Page)"/>
        <w:docPartUnique/>
      </w:docPartObj>
    </w:sdtPr>
    <w:sdtEndPr/>
    <w:sdtContent>
      <w:p w:rsidR="00451052" w:rsidRDefault="004510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F72">
          <w:rPr>
            <w:noProof/>
          </w:rPr>
          <w:t>2</w:t>
        </w:r>
        <w:r>
          <w:fldChar w:fldCharType="end"/>
        </w:r>
      </w:p>
    </w:sdtContent>
  </w:sdt>
  <w:p w:rsidR="00451052" w:rsidRDefault="0045105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04B"/>
    <w:rsid w:val="000222D0"/>
    <w:rsid w:val="00044964"/>
    <w:rsid w:val="0005655E"/>
    <w:rsid w:val="000620AE"/>
    <w:rsid w:val="000702C2"/>
    <w:rsid w:val="00072761"/>
    <w:rsid w:val="00094245"/>
    <w:rsid w:val="000C0E8F"/>
    <w:rsid w:val="0012438E"/>
    <w:rsid w:val="00152892"/>
    <w:rsid w:val="001646DC"/>
    <w:rsid w:val="00193EDA"/>
    <w:rsid w:val="001A1201"/>
    <w:rsid w:val="001C26A0"/>
    <w:rsid w:val="001C47EF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10ABF"/>
    <w:rsid w:val="00354443"/>
    <w:rsid w:val="00365021"/>
    <w:rsid w:val="00370EF8"/>
    <w:rsid w:val="0038609A"/>
    <w:rsid w:val="003C1A45"/>
    <w:rsid w:val="003C478F"/>
    <w:rsid w:val="003F25CD"/>
    <w:rsid w:val="00414911"/>
    <w:rsid w:val="00441BAE"/>
    <w:rsid w:val="004472F7"/>
    <w:rsid w:val="00451052"/>
    <w:rsid w:val="00457BBA"/>
    <w:rsid w:val="004907F1"/>
    <w:rsid w:val="004A7E7A"/>
    <w:rsid w:val="004B22D3"/>
    <w:rsid w:val="004B6EE2"/>
    <w:rsid w:val="004D31F6"/>
    <w:rsid w:val="00503EF7"/>
    <w:rsid w:val="0051004B"/>
    <w:rsid w:val="00516F72"/>
    <w:rsid w:val="005276A5"/>
    <w:rsid w:val="005327D1"/>
    <w:rsid w:val="00535E95"/>
    <w:rsid w:val="0054478A"/>
    <w:rsid w:val="00553549"/>
    <w:rsid w:val="0057573D"/>
    <w:rsid w:val="00593E0A"/>
    <w:rsid w:val="005A58E0"/>
    <w:rsid w:val="005B5F48"/>
    <w:rsid w:val="005E0048"/>
    <w:rsid w:val="005F5FC6"/>
    <w:rsid w:val="0061204C"/>
    <w:rsid w:val="0066438D"/>
    <w:rsid w:val="006D10C7"/>
    <w:rsid w:val="006F01EC"/>
    <w:rsid w:val="007130DC"/>
    <w:rsid w:val="00735C18"/>
    <w:rsid w:val="00747FD5"/>
    <w:rsid w:val="00752B55"/>
    <w:rsid w:val="007830FB"/>
    <w:rsid w:val="007B489F"/>
    <w:rsid w:val="007B5347"/>
    <w:rsid w:val="007C571A"/>
    <w:rsid w:val="007D2A54"/>
    <w:rsid w:val="00802A9A"/>
    <w:rsid w:val="0084596C"/>
    <w:rsid w:val="008B57FB"/>
    <w:rsid w:val="008C3551"/>
    <w:rsid w:val="008D64D9"/>
    <w:rsid w:val="008D6DF4"/>
    <w:rsid w:val="00900023"/>
    <w:rsid w:val="00910DFB"/>
    <w:rsid w:val="00921A69"/>
    <w:rsid w:val="00946035"/>
    <w:rsid w:val="0096124B"/>
    <w:rsid w:val="009927A6"/>
    <w:rsid w:val="009B1EEF"/>
    <w:rsid w:val="009C5EDE"/>
    <w:rsid w:val="009E61CA"/>
    <w:rsid w:val="009F1FB8"/>
    <w:rsid w:val="009F674B"/>
    <w:rsid w:val="00A12D64"/>
    <w:rsid w:val="00A203D1"/>
    <w:rsid w:val="00A21C35"/>
    <w:rsid w:val="00A4678D"/>
    <w:rsid w:val="00A62275"/>
    <w:rsid w:val="00A75BB7"/>
    <w:rsid w:val="00A80BCA"/>
    <w:rsid w:val="00AA4D6E"/>
    <w:rsid w:val="00AB6F6E"/>
    <w:rsid w:val="00AD1A10"/>
    <w:rsid w:val="00B360F5"/>
    <w:rsid w:val="00B6031E"/>
    <w:rsid w:val="00B67182"/>
    <w:rsid w:val="00BB08D2"/>
    <w:rsid w:val="00BC03A1"/>
    <w:rsid w:val="00BC3DFD"/>
    <w:rsid w:val="00C374E1"/>
    <w:rsid w:val="00C60B42"/>
    <w:rsid w:val="00C733D2"/>
    <w:rsid w:val="00CA1FFD"/>
    <w:rsid w:val="00CB5D91"/>
    <w:rsid w:val="00CB712E"/>
    <w:rsid w:val="00CC001B"/>
    <w:rsid w:val="00CD265A"/>
    <w:rsid w:val="00D055C9"/>
    <w:rsid w:val="00D05E81"/>
    <w:rsid w:val="00D136B7"/>
    <w:rsid w:val="00D30075"/>
    <w:rsid w:val="00D55D05"/>
    <w:rsid w:val="00DE6D54"/>
    <w:rsid w:val="00DF7FE7"/>
    <w:rsid w:val="00E24B71"/>
    <w:rsid w:val="00E34F67"/>
    <w:rsid w:val="00E8734B"/>
    <w:rsid w:val="00EA05B7"/>
    <w:rsid w:val="00EC3493"/>
    <w:rsid w:val="00ED1504"/>
    <w:rsid w:val="00EE5317"/>
    <w:rsid w:val="00EF0968"/>
    <w:rsid w:val="00EF6E64"/>
    <w:rsid w:val="00F120B8"/>
    <w:rsid w:val="00F20A19"/>
    <w:rsid w:val="00F36454"/>
    <w:rsid w:val="00F755D1"/>
    <w:rsid w:val="00F83D76"/>
    <w:rsid w:val="00F939BD"/>
    <w:rsid w:val="00F957FF"/>
    <w:rsid w:val="00F9693D"/>
    <w:rsid w:val="00FA092B"/>
    <w:rsid w:val="00FA45C4"/>
    <w:rsid w:val="00FB12B7"/>
    <w:rsid w:val="00FC135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4510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105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510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105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4510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105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510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105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2020-01-29T07:36:00Z</cp:lastPrinted>
  <dcterms:created xsi:type="dcterms:W3CDTF">2020-02-05T14:15:00Z</dcterms:created>
  <dcterms:modified xsi:type="dcterms:W3CDTF">2020-02-06T05:55:00Z</dcterms:modified>
</cp:coreProperties>
</file>